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2B" w:rsidRPr="00A31845" w:rsidRDefault="00042F2B" w:rsidP="00042F2B">
      <w:pPr>
        <w:spacing w:after="195"/>
        <w:outlineLvl w:val="1"/>
        <w:rPr>
          <w:rFonts w:ascii="Georgia" w:hAnsi="Georgia" w:cs="Arial"/>
          <w:i/>
          <w:iCs/>
          <w:color w:val="000000"/>
          <w:kern w:val="36"/>
          <w:sz w:val="36"/>
          <w:szCs w:val="36"/>
        </w:rPr>
      </w:pPr>
      <w:r w:rsidRPr="00A31845">
        <w:rPr>
          <w:rFonts w:ascii="Georgia" w:hAnsi="Georgia" w:cs="Arial"/>
          <w:i/>
          <w:iCs/>
          <w:color w:val="000000"/>
          <w:kern w:val="36"/>
          <w:sz w:val="36"/>
          <w:szCs w:val="36"/>
        </w:rPr>
        <w:t>Нормативно-правовые акты, содержащие обязательные требования, оценка соблюдения которых является предметом муниципального земельного контроля</w:t>
      </w:r>
    </w:p>
    <w:p w:rsidR="00042F2B" w:rsidRDefault="00042F2B" w:rsidP="00042F2B">
      <w:pPr>
        <w:spacing w:after="75" w:line="285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A31845">
        <w:rPr>
          <w:rFonts w:ascii="Arial" w:hAnsi="Arial" w:cs="Arial"/>
          <w:color w:val="000000"/>
          <w:sz w:val="18"/>
          <w:szCs w:val="18"/>
        </w:rPr>
        <w:t>Согласно п.2 ст.8.2 Федерального закона от 26.12.2008 №294-ФЗ «О защите прав юридических лиц, индивидуальных предпринимателей при осуществлении государственного контроля (надзора) и муниципального контроля» органы муниципального контроля в целях профилактики нарушений обязательных требований, требований, установленных муниципальными правовыми актами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нормативных правовых актов или</w:t>
      </w:r>
      <w:proofErr w:type="gramEnd"/>
      <w:r w:rsidRPr="00A31845">
        <w:rPr>
          <w:rFonts w:ascii="Arial" w:hAnsi="Arial" w:cs="Arial"/>
          <w:color w:val="000000"/>
          <w:sz w:val="18"/>
          <w:szCs w:val="18"/>
        </w:rPr>
        <w:t xml:space="preserve">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042F2B" w:rsidRDefault="00042F2B" w:rsidP="00042F2B"/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263"/>
        <w:gridCol w:w="3282"/>
        <w:gridCol w:w="1918"/>
      </w:tblGrid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 xml:space="preserve">N </w:t>
            </w:r>
            <w:proofErr w:type="gramStart"/>
            <w:r w:rsidRPr="00045843">
              <w:rPr>
                <w:color w:val="212529"/>
                <w:sz w:val="20"/>
              </w:rPr>
              <w:t>п</w:t>
            </w:r>
            <w:proofErr w:type="gramEnd"/>
            <w:r w:rsidRPr="00045843">
              <w:rPr>
                <w:color w:val="212529"/>
                <w:sz w:val="20"/>
              </w:rPr>
              <w:t>/п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Наименование, реквизиты нормативного правового акта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Указание на конкретные статьи, части или иные структурные единицы нормативного правового акта, содержащие обязательные требования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Земельный кодекс Российской Федерации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2 статьи 7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1 статьи 25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1 статьи 26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12 статьи 39.20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39.33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39.35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39.36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8 статьи 39.50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42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56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подпункт 4 пункта 2 статьи 60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78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4, 6 статьи 79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85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3, 6 статьи 87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88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89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1 - 6, 8 статьи 90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91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92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lastRenderedPageBreak/>
              <w:t>статья 93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7 статьи 95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4 статьи 97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3, 5 статьи 98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3 статьи 99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2 статьи 103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Земельный кодекс Российской Федерации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4, 5, 8 статьи 27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39.1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39.3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2 - 5 статьи 39.6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4 статьи 39.9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6, 7 статьи 39.10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7 статьи 39.11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20 статьи 39.12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39.16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5 статьи 39.17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1 статьи 39.18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39.20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6, 7 статьи 95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4 статьи 97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Гражданский кодекс Российской Федерации (часть первая)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1, 2 статьи 8.1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Градостроительный кодекс Российской Федерации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17, 19 статьи 51</w:t>
            </w:r>
          </w:p>
        </w:tc>
      </w:tr>
      <w:tr w:rsidR="00042F2B" w:rsidRPr="001A68E7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25.10.2001 N 137-ФЗ "О введении в действие Земельного кодекса Российской Федерации"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2 статьи 3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04.12.2006 N 201-ФЗ "О введении в действие Лесного кодекса Российской Федерации"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часть 2 статьи 9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07.07.2003 N 112-ФЗ "О личном подсобном хозяйстве"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1 статьи 2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2, 3 статьи 4</w:t>
            </w:r>
          </w:p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статья 10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07.07.2003 N 112-ФЗ "О личном подсобном хозяйстве"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4, 5 статьи 4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24.07.2002 N 101-ФЗ "Об обороте земель сельскохозяйственного назначения"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законом "Об обороте земель сельскохозяйственного назначения", и находящихся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статьи 4, 9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11.06.2003 N 74-ФЗ "О крестьянском (фермерском) хозяйстве"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органы государственной власти и органы местного самоуправления, осуществляющие предоставление земельных участков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пункты 6.1, 7 статьи 12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Федеральный закон от 21.12.2001 N 178-ФЗ "О приватизации государственного и муниципального имущества"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пункт 3 статьи 28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Федеральный закон от 29.07.2017</w:t>
            </w:r>
            <w:r w:rsidRPr="00045843">
              <w:rPr>
                <w:color w:val="212529"/>
                <w:sz w:val="20"/>
              </w:rPr>
              <w:t xml:space="preserve"> N </w:t>
            </w:r>
            <w:r>
              <w:rPr>
                <w:color w:val="212529"/>
                <w:sz w:val="20"/>
              </w:rPr>
              <w:t>217</w:t>
            </w:r>
            <w:r w:rsidRPr="00045843">
              <w:rPr>
                <w:color w:val="212529"/>
                <w:sz w:val="20"/>
              </w:rPr>
              <w:t xml:space="preserve">-ФЗ "О </w:t>
            </w:r>
            <w:r>
              <w:rPr>
                <w:color w:val="212529"/>
                <w:sz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 w:rsidRPr="00045843">
              <w:rPr>
                <w:color w:val="212529"/>
                <w:sz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</w:t>
            </w:r>
            <w:r>
              <w:rPr>
                <w:color w:val="212529"/>
                <w:sz w:val="20"/>
              </w:rPr>
              <w:t>ндивидуальные предприниматели, граждане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статьи  22,23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</w:t>
            </w:r>
            <w:r>
              <w:rPr>
                <w:color w:val="212529"/>
                <w:sz w:val="20"/>
              </w:rPr>
              <w:t>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весь</w:t>
            </w:r>
          </w:p>
        </w:tc>
      </w:tr>
      <w:tr w:rsidR="00042F2B" w:rsidRPr="00045843" w:rsidTr="008E3317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Постановление Правительства РФ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 w:rsidRPr="00045843">
              <w:rPr>
                <w:color w:val="212529"/>
                <w:sz w:val="20"/>
              </w:rPr>
              <w:t>юридические лица, и</w:t>
            </w:r>
            <w:r>
              <w:rPr>
                <w:color w:val="212529"/>
                <w:sz w:val="20"/>
              </w:rPr>
              <w:t>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042F2B" w:rsidRPr="00045843" w:rsidRDefault="00042F2B" w:rsidP="008E3317">
            <w:pPr>
              <w:rPr>
                <w:color w:val="212529"/>
                <w:sz w:val="20"/>
              </w:rPr>
            </w:pPr>
            <w:r>
              <w:rPr>
                <w:color w:val="212529"/>
                <w:sz w:val="20"/>
              </w:rPr>
              <w:t>весь</w:t>
            </w:r>
          </w:p>
        </w:tc>
      </w:tr>
    </w:tbl>
    <w:p w:rsidR="0078620A" w:rsidRDefault="0078620A">
      <w:bookmarkStart w:id="0" w:name="_GoBack"/>
      <w:bookmarkEnd w:id="0"/>
    </w:p>
    <w:sectPr w:rsidR="0078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2B"/>
    <w:rsid w:val="00042F2B"/>
    <w:rsid w:val="007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2B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2B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1</cp:revision>
  <dcterms:created xsi:type="dcterms:W3CDTF">2020-03-04T09:58:00Z</dcterms:created>
  <dcterms:modified xsi:type="dcterms:W3CDTF">2020-03-04T09:59:00Z</dcterms:modified>
</cp:coreProperties>
</file>