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9E" w:rsidRDefault="00957C9E" w:rsidP="00957C9E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3066CBB4" wp14:editId="72A198AC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Обновления в законе о банкротстве физлиц: что важно знать</w:t>
      </w:r>
    </w:p>
    <w:p w:rsidR="00957C9E" w:rsidRDefault="00957C9E" w:rsidP="00957C9E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3 ноября 2023 года изменилось законодательство в сфере банкротства граждан. Изменения коснулись процедуры внесудебного банкротства. Она стала доступнее: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минимальная сумма долга, необходимая для инициирования внесудебного банкротства, снижена в два раза и составляет на сегодня 25 тыс. руб., вдвое увеличен верхний предел долга - до 1 млн. рублей;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теперь пенсионеры и другие граждане, единственным доходом которых являются социальные выплаты, смогут инициировать внесудебное банкротство, но не ранее чем через год с начала принудительного взыскания;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в иных случаях заявление о внесудебном банкротстве можно подать через семь лет с начала принудительного взыскания долга;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повторить внесудебную процедуру банкротства теперь можно через 5 лет, а не через 10;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процедуре судебного банкротства граждан можно погасить долги и избежать признания банкротом в течение 5 лет вместо 3.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Кроме того, с 18 мая текущего года применяются разъяснения Конституционного Суда Российской Федерации о праве сособственников гражданина-банкрота выкупить долю должника по начальной цене на торгах. Ранее такие лица могли осуществить выкуп лишь после проведения торгов по установленной цене реализации.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jc w:val="both"/>
      </w:pP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57C9E" w:rsidRDefault="00957C9E" w:rsidP="00957C9E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3075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8 ноября – День Сибири</w:t>
      </w:r>
    </w:p>
    <w:p w:rsidR="00957C9E" w:rsidRDefault="00957C9E" w:rsidP="00957C9E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Появился этот праздник в 1881 году, в день 300-летия присоединения Сибири к Российскому государству.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Сибирь - это огромная территория, занимающая большую часть восточной части России и обладающая большими природными и экологическими резервами планеты. День Сибири призван привлечь внимание к этому региону и его огромному потенциалу.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Новосибирская область – один из самых крупных регионов Сибири, молодой, динамично развивающийся. Уникальное географическое положение – на пересечении важнейших транспортных путей - стало весомым фактором его инвестиционной привлекательности и деловой активности.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последние годы Новосибирская область заявила о себе, как о крупном туристическом центре Сибири. В области стабильно благоприятная экологическая обстановка. Здесь бережно сохраняют памятники истории, культуры и природы, заботливо относятся к уникальным ландшафтам.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Развитию туризма способствует проект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«Земля для туризма», стартовавший в Новосибирской области в декабре 2022 года.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В рамках проекта новосибирским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совместно с региональными органами власти выявляются земельные участки и территории, которые могут быть использованы для развития туризма. </w:t>
      </w:r>
      <w:proofErr w:type="gramEnd"/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«В течение 2023 года уже выявлено 15 земельных участков, площадью 3363080 га, и 30 объектов туристической индустрии, сведения о них внесены на Публичную кадастровую карту, - сообщила руководитель Управления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Светлана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Рягузова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– Потенциальные инвесторы могут не только быстрой найти свободные для строительства туристической инфраструктуры участки, выбрать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понравившийся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заявить об этом».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Для поиска свободного земельного участка на сайте Публичной кадастровой карты pkk.rosreestr.ru нужно в поисковой строке выбрать в выпадающем списке «Земля для туризма» и ввести номер региона, двоеточие и звездочку.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Поиск по Новосибирской области будет выглядеть так: 54: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Так можно увидеть все свободные участки в Новосибирской области, узнать их площадь, адрес, категорию земель. Здесь же можно направить обращение о своей заинтересованности в использовании участка для туризма.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Справка: </w:t>
      </w: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Земельные участки и территории Новосибирской области, включенные в проект «Земля для туризма»: река Обь, озеро Карачи, озеро Горькое, озеро Островное, озеро Чаны, озеро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Сартлан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Абрашинский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карьер - озеро Мраморное,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Бердские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скалы,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Караканский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бор, озеро Данилово, озеро Довольное, озеро Горькое, озеро Хорошее, озеро Соленое, озеро Кривое, озеро Чистое, аул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Омь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река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Омь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озеро Лечебное, Музейный комплекс по истории золотодобычи, Дом-музей Владлена Е.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Бирюкова,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Талицкий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водопад, Дом-музей купца Дранишникова,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Елбанские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ельники,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Экотропа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Барсуковские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пещеры, Горнолыжный курорт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Юрманка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»,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Петенёвские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ельники, Мраморный карьер, деревня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Чупино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jc w:val="both"/>
      </w:pP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4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5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6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7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957C9E" w:rsidRDefault="00957C9E" w:rsidP="00957C9E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0A707036" wp14:editId="168D6D29">
            <wp:extent cx="1748155" cy="7493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>
        <w:rPr>
          <w:rFonts w:ascii="Segoe UI" w:hAnsi="Segoe UI" w:cs="Segoe UI"/>
          <w:b/>
          <w:noProof/>
          <w:sz w:val="28"/>
        </w:rPr>
        <w:t>Новосибирским Росреестром завершен сезон обследования геодезических пунктов 2023 года</w:t>
      </w:r>
    </w:p>
    <w:p w:rsidR="00957C9E" w:rsidRDefault="00957C9E" w:rsidP="00957C9E">
      <w:pPr>
        <w:pStyle w:val="a4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proofErr w:type="gram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</w:t>
      </w:r>
      <w:proofErr w:type="gram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Росреестром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завершен полевой сезон по обследованию геодезических пунктов. В 2023 году обследовано 438 геодезических пунктов и 179 нивелирных пунктов.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Зачастую пункты расположены далеко от населенных пунктов и дорог, в заболоченной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залесенной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местности, и, несмотря на это, годовой план обследования перевыполнен на 60%.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Это удалось осуществить благодаря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экопартнерству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администрациями города Купино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Чулымского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района, АО «РЖД»,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АО «Региональные электрические сети», ООО «Новосибирский оловянный комбинат», Новосибирским государственным художественным училищем, Новосибирским государственным Краеведческим музеем, с геодезическими организациями – ООО «ЕФТ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Сервис», ООО «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Геопроектизыскания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», МКУ «Землеустроительное бюро» и кадастровым инженером Андреем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Боровковым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</w:t>
      </w:r>
    </w:p>
    <w:p w:rsidR="00957C9E" w:rsidRDefault="00957C9E" w:rsidP="00957C9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следующем году работа по обследованию пунктов будет продолжена.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57C9E" w:rsidRDefault="00957C9E" w:rsidP="00957C9E">
      <w:pPr>
        <w:autoSpaceDE w:val="0"/>
        <w:autoSpaceDN w:val="0"/>
        <w:adjustRightInd w:val="0"/>
        <w:spacing w:after="0"/>
        <w:jc w:val="both"/>
      </w:pP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57C9E" w:rsidRDefault="00957C9E" w:rsidP="00957C9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57C9E" w:rsidRDefault="00957C9E" w:rsidP="00957C9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57C9E" w:rsidRDefault="00957C9E" w:rsidP="00957C9E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8" w:history="1">
        <w:r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9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Росреестр</w:t>
        </w:r>
        <w:proofErr w:type="spellEnd"/>
      </w:hyperlink>
    </w:p>
    <w:p w:rsidR="00957C9E" w:rsidRDefault="00957C9E" w:rsidP="00957C9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20" w:history="1">
        <w:proofErr w:type="spellStart"/>
        <w:r>
          <w:rPr>
            <w:rStyle w:val="a3"/>
            <w:rFonts w:ascii="Segoe UI" w:eastAsia="Times New Roman" w:hAnsi="Segoe UI" w:cs="Segoe UI"/>
            <w:sz w:val="18"/>
            <w:szCs w:val="18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21" w:history="1">
        <w:r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22" w:history="1"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23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64DB3" w:rsidRDefault="00E64DB3"/>
    <w:sectPr w:rsidR="00E6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6B"/>
    <w:rsid w:val="004B0E6B"/>
    <w:rsid w:val="00957C9E"/>
    <w:rsid w:val="00E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7C9E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semiHidden/>
    <w:locked/>
    <w:rsid w:val="00957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957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C9E"/>
  </w:style>
  <w:style w:type="paragraph" w:styleId="a5">
    <w:name w:val="Balloon Text"/>
    <w:basedOn w:val="a"/>
    <w:link w:val="a6"/>
    <w:uiPriority w:val="99"/>
    <w:semiHidden/>
    <w:unhideWhenUsed/>
    <w:rsid w:val="0095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7C9E"/>
    <w:rPr>
      <w:color w:val="0000FF"/>
      <w:u w:val="single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semiHidden/>
    <w:locked/>
    <w:rsid w:val="00957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semiHidden/>
    <w:unhideWhenUsed/>
    <w:rsid w:val="00957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C9E"/>
  </w:style>
  <w:style w:type="paragraph" w:styleId="a5">
    <w:name w:val="Balloon Text"/>
    <w:basedOn w:val="a"/>
    <w:link w:val="a6"/>
    <w:uiPriority w:val="99"/>
    <w:semiHidden/>
    <w:unhideWhenUsed/>
    <w:rsid w:val="0095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2023-11-09T01:29:00Z</dcterms:created>
  <dcterms:modified xsi:type="dcterms:W3CDTF">2023-11-09T01:31:00Z</dcterms:modified>
</cp:coreProperties>
</file>