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BF5" w:rsidRPr="00A01B3B" w:rsidRDefault="00A01B3B">
      <w:pPr>
        <w:pStyle w:val="af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A01B3B">
        <w:rPr>
          <w:rFonts w:ascii="Times New Roman" w:eastAsia="Times New Roman" w:hAnsi="Times New Roman" w:cs="Times New Roman"/>
          <w:bCs/>
          <w:sz w:val="28"/>
          <w:szCs w:val="28"/>
        </w:rPr>
        <w:t>Минпромторг</w:t>
      </w:r>
      <w:proofErr w:type="spellEnd"/>
      <w:r w:rsidRPr="00A01B3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России приглашает на конкурс «Торговля России»</w:t>
      </w:r>
    </w:p>
    <w:p w:rsidR="00E13BF5" w:rsidRDefault="00E13BF5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E13BF5" w:rsidRDefault="00A01B3B">
      <w:pPr>
        <w:pStyle w:val="af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16 февраля 2026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начинается прием заявок на IX ежегодный конкурс «Торговля России», организатором которого является Министерство промышленности и торговли Российской Федерации при содействии отраслевых ассоциаций - Российско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й Ассоциации экспертов рынка ритейла, Союза неза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висимых сетей России, Ассоциации малоформатной торговли, Ассоциации компаний розничной торговли, Союза оптовых продовольственных рынков России, Федерации рестораторов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отельеров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автономной некоммерческой организации «Российская система качества».</w:t>
      </w:r>
    </w:p>
    <w:p w:rsidR="00E13BF5" w:rsidRDefault="00E13BF5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3BF5" w:rsidRDefault="00A01B3B">
      <w:pPr>
        <w:pStyle w:val="af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Отбор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участников будет проводиться по следующим номинациям: «Лучшая торговая улица», «Лучший нестационарный торговый объект», «Лучшая ярмарка», «Лучший розничный рынок», «Лучший мобильный торговый объект», «Лучший магазин», «Лучшее предприятие питания», «Лучший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торговый фестиваль», «Лучший оптовый продовольственный рынок», «Лучшая фирменная сеть местного товаропроизводителя», «Лучшая представленность российских товаров» и «Лучший придорожный сервис».</w:t>
      </w:r>
    </w:p>
    <w:p w:rsidR="00E13BF5" w:rsidRDefault="00E13BF5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3BF5" w:rsidRDefault="00A01B3B">
      <w:pPr>
        <w:pStyle w:val="af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Конкурс «Торговля России»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привлекает внимание участников со в</w:t>
      </w:r>
      <w:r>
        <w:rPr>
          <w:rFonts w:ascii="Times New Roman" w:eastAsia="Times New Roman" w:hAnsi="Times New Roman" w:cs="Times New Roman"/>
          <w:sz w:val="28"/>
          <w:szCs w:val="28"/>
        </w:rPr>
        <w:t>сей страны. Победители получат награды, а их успехи, традиционно, будут представлены всеобщему вниманию на торжественной церемонии награждения в ходе 12-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й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Недели Российского Ритейла».</w:t>
      </w:r>
    </w:p>
    <w:p w:rsidR="00E13BF5" w:rsidRDefault="00A01B3B">
      <w:pPr>
        <w:pStyle w:val="af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13BF5" w:rsidRDefault="00A01B3B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Международный форум бизнеса и власти «Неделя Российского Ритейла»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самое ожидаемое отраслевое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событие  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всей ритейл-индустрии, которое пройдет с 22 по 25 июня 2026 года и соберет более 8 тысяч участников.</w:t>
      </w:r>
    </w:p>
    <w:p w:rsidR="00E13BF5" w:rsidRDefault="00E13BF5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3BF5" w:rsidRDefault="00A01B3B">
      <w:pPr>
        <w:pStyle w:val="af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участия в конкурсе «Торговля России» необходимо подать заявку</w:t>
      </w:r>
    </w:p>
    <w:p w:rsidR="00E13BF5" w:rsidRDefault="00A01B3B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заполнить анкету на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торговляроссии.рф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3BF5" w:rsidRDefault="00E13BF5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E13BF5" w:rsidRDefault="00A01B3B">
      <w:pPr>
        <w:pStyle w:val="af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окончания приема заявок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27 марта 2026 года.</w:t>
      </w:r>
    </w:p>
    <w:p w:rsidR="00E13BF5" w:rsidRDefault="00E13BF5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4DAE" w:rsidRPr="00944DAE" w:rsidRDefault="00A01B3B" w:rsidP="00944DAE">
      <w:pPr>
        <w:pStyle w:val="af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DAE">
        <w:rPr>
          <w:rFonts w:ascii="Times New Roman" w:eastAsia="Times New Roman" w:hAnsi="Times New Roman" w:cs="Times New Roman"/>
          <w:sz w:val="28"/>
          <w:szCs w:val="28"/>
        </w:rPr>
        <w:t>Этапы квалификационного отбора и определение победителей будут завершены</w:t>
      </w:r>
      <w:r w:rsidRPr="00944D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30 апреля 2026 года.</w:t>
      </w:r>
    </w:p>
    <w:p w:rsidR="00944DAE" w:rsidRPr="00944DAE" w:rsidRDefault="00944DAE" w:rsidP="00944D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DAE" w:rsidRPr="00944DAE" w:rsidRDefault="00944DAE" w:rsidP="00944DAE">
      <w:pPr>
        <w:tabs>
          <w:tab w:val="left" w:pos="0"/>
        </w:tabs>
        <w:spacing w:after="0" w:line="240" w:lineRule="auto"/>
        <w:ind w:right="2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DAE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оформить заявку на сайте: </w:t>
      </w:r>
      <w:proofErr w:type="spellStart"/>
      <w:r w:rsidRPr="00944DAE">
        <w:rPr>
          <w:rFonts w:ascii="Times New Roman" w:hAnsi="Times New Roman" w:cs="Times New Roman"/>
          <w:sz w:val="28"/>
          <w:szCs w:val="28"/>
        </w:rPr>
        <w:t>Торговляроссии.рф</w:t>
      </w:r>
      <w:proofErr w:type="spellEnd"/>
      <w:r w:rsidRPr="00944DAE"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history="1">
        <w:r w:rsidRPr="003A31FB">
          <w:rPr>
            <w:rStyle w:val="a3"/>
            <w:rFonts w:ascii="Times New Roman" w:hAnsi="Times New Roman" w:cs="Times New Roman"/>
            <w:sz w:val="28"/>
            <w:szCs w:val="28"/>
          </w:rPr>
          <w:t>www.russiant</w:t>
        </w:r>
        <w:r w:rsidRPr="003A31F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A31FB">
          <w:rPr>
            <w:rStyle w:val="a3"/>
            <w:rFonts w:ascii="Times New Roman" w:hAnsi="Times New Roman" w:cs="Times New Roman"/>
            <w:sz w:val="28"/>
            <w:szCs w:val="28"/>
          </w:rPr>
          <w:t>org</w:t>
        </w:r>
      </w:hyperlink>
      <w:r w:rsidRPr="00944D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а также проинформировать управление экономического развития администрации округа по тел.20-320 для обобщения информации о потенциальных участниках Конкурса</w:t>
      </w:r>
      <w:r w:rsidRPr="00944DAE">
        <w:rPr>
          <w:rFonts w:ascii="Times New Roman" w:hAnsi="Times New Roman" w:cs="Times New Roman"/>
          <w:sz w:val="28"/>
          <w:szCs w:val="28"/>
        </w:rPr>
        <w:t>.</w:t>
      </w:r>
    </w:p>
    <w:p w:rsidR="00E13BF5" w:rsidRPr="00944DAE" w:rsidRDefault="00E13BF5" w:rsidP="00944DAE">
      <w:pPr>
        <w:ind w:firstLine="708"/>
      </w:pPr>
    </w:p>
    <w:sectPr w:rsidR="00E13BF5" w:rsidRPr="00944DAE">
      <w:pgSz w:w="11906" w:h="16838"/>
      <w:pgMar w:top="850" w:right="850" w:bottom="85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BF5"/>
    <w:rsid w:val="00944DAE"/>
    <w:rsid w:val="00A01B3B"/>
    <w:rsid w:val="00D0670A"/>
    <w:rsid w:val="00E1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C818"/>
  <w15:docId w15:val="{DABD9352-5012-4544-886C-B8AC387A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endnote reference"/>
    <w:rPr>
      <w:vertAlign w:val="superscript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9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a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b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e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0">
    <w:name w:val="index heading"/>
    <w:basedOn w:val="Heading"/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f2">
    <w:name w:val="table of figures"/>
    <w:basedOn w:val="a"/>
    <w:uiPriority w:val="99"/>
    <w:unhideWhenUsed/>
    <w:pPr>
      <w:spacing w:after="0"/>
    </w:pPr>
  </w:style>
  <w:style w:type="paragraph" w:styleId="af3">
    <w:name w:val="No Spacing"/>
    <w:basedOn w:val="a"/>
    <w:uiPriority w:val="1"/>
    <w:qFormat/>
    <w:pPr>
      <w:spacing w:after="0" w:line="240" w:lineRule="auto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af5">
    <w:name w:val="FollowedHyperlink"/>
    <w:basedOn w:val="a0"/>
    <w:uiPriority w:val="99"/>
    <w:semiHidden/>
    <w:unhideWhenUsed/>
    <w:rsid w:val="00944D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ssiant.org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dc:description/>
  <cp:lastModifiedBy>Экономист</cp:lastModifiedBy>
  <cp:revision>3</cp:revision>
  <dcterms:created xsi:type="dcterms:W3CDTF">2026-02-18T04:57:00Z</dcterms:created>
  <dcterms:modified xsi:type="dcterms:W3CDTF">2026-02-18T05:10:00Z</dcterms:modified>
  <dc:language>ru-RU</dc:language>
</cp:coreProperties>
</file>