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5C8A" w:rsidRPr="00726E22" w:rsidRDefault="00995B30" w:rsidP="003E2778">
      <w:pPr>
        <w:autoSpaceDE w:val="0"/>
        <w:autoSpaceDN w:val="0"/>
        <w:adjustRightInd w:val="0"/>
        <w:spacing w:after="0"/>
        <w:ind w:firstLine="709"/>
        <w:jc w:val="center"/>
        <w:rPr>
          <w:rFonts w:ascii="Segoe UI" w:hAnsi="Segoe UI" w:cs="Segoe UI"/>
          <w:noProof/>
          <w:sz w:val="20"/>
        </w:rPr>
      </w:pPr>
      <w:bookmarkStart w:id="0" w:name="_GoBack"/>
      <w:r w:rsidRPr="00995B30">
        <w:rPr>
          <w:rFonts w:ascii="Segoe UI" w:hAnsi="Segoe UI" w:cs="Segoe UI"/>
          <w:b/>
          <w:noProof/>
          <w:sz w:val="28"/>
        </w:rPr>
        <w:t>Как не стать обманутым дольщиком</w:t>
      </w:r>
    </w:p>
    <w:bookmarkEnd w:id="0"/>
    <w:p w:rsidR="003E2778" w:rsidRDefault="003E277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995B30" w:rsidRPr="00995B30" w:rsidRDefault="00995B30" w:rsidP="00995B30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За последние несколько лет сфера долевого строительства претерпела колоссальные изменения, благодаря чему она стала более привлекательной и безопасной для покупателей недвижимости.</w:t>
      </w:r>
    </w:p>
    <w:p w:rsidR="00995B30" w:rsidRPr="00995B30" w:rsidRDefault="00995B30" w:rsidP="00995B30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Несмотря на это, как и в любой схеме покупки недвижимости, существуют свои риски и чтобы их </w:t>
      </w: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минимизировать, необходимо</w:t>
      </w: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 придерживаться некоторых правил, о которых рассказали специалисты Управления Росреестра по Новосибирской области.</w:t>
      </w:r>
    </w:p>
    <w:p w:rsidR="00995B30" w:rsidRPr="00995B30" w:rsidRDefault="00995B30" w:rsidP="00995B30">
      <w:pPr>
        <w:pStyle w:val="af"/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Проверить застройщика</w:t>
      </w:r>
    </w:p>
    <w:p w:rsidR="00995B30" w:rsidRPr="00995B30" w:rsidRDefault="00995B30" w:rsidP="00995B30">
      <w:pPr>
        <w:pStyle w:val="af"/>
        <w:numPr>
          <w:ilvl w:val="0"/>
          <w:numId w:val="7"/>
        </w:numPr>
        <w:shd w:val="clear" w:color="auto" w:fill="FFFFFF"/>
        <w:tabs>
          <w:tab w:val="num" w:pos="709"/>
        </w:tabs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00000" w:themeColor="text1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Единый государственный реестр юридических лиц </w:t>
      </w:r>
      <w:hyperlink r:id="rId8" w:history="1">
        <w:r w:rsidRPr="00995B30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https://egrul.nalog.ru/index.html</w:t>
        </w:r>
      </w:hyperlink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поможет  удостовериться, зарегистрирован ли застройщик в качестве юридического лица.</w:t>
      </w:r>
    </w:p>
    <w:p w:rsidR="00995B30" w:rsidRPr="00995B30" w:rsidRDefault="00995B30" w:rsidP="00995B30">
      <w:pPr>
        <w:numPr>
          <w:ilvl w:val="0"/>
          <w:numId w:val="7"/>
        </w:numPr>
        <w:shd w:val="clear" w:color="auto" w:fill="FFFFFF"/>
        <w:tabs>
          <w:tab w:val="num" w:pos="1843"/>
        </w:tabs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Единая информационная система жилищного строительства (ЕИСЖС) </w:t>
      </w:r>
      <w:hyperlink r:id="rId9" w:history="1">
        <w:r w:rsidRPr="00995B30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https://наш.дом.рф</w:t>
        </w:r>
      </w:hyperlink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подскажет включен ли застройщик в Единый реестр застройщиков и есть ли у него проблемные объекты  в Едином реестре проблемных объектов.</w:t>
      </w:r>
    </w:p>
    <w:p w:rsidR="00995B30" w:rsidRPr="00995B30" w:rsidRDefault="00995B30" w:rsidP="00995B30">
      <w:pPr>
        <w:numPr>
          <w:ilvl w:val="0"/>
          <w:numId w:val="7"/>
        </w:numPr>
        <w:shd w:val="clear" w:color="auto" w:fill="FFFFFF"/>
        <w:tabs>
          <w:tab w:val="num" w:pos="1701"/>
        </w:tabs>
        <w:spacing w:after="0" w:line="240" w:lineRule="auto"/>
        <w:ind w:left="0"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hyperlink r:id="rId10" w:tgtFrame="_blank" w:history="1">
        <w:r w:rsidRPr="00995B30">
          <w:rPr>
            <w:rFonts w:ascii="Segoe UI" w:eastAsia="Times New Roman" w:hAnsi="Segoe UI" w:cs="Segoe UI"/>
            <w:color w:val="000000" w:themeColor="text1"/>
            <w:sz w:val="28"/>
            <w:szCs w:val="28"/>
            <w:lang w:eastAsia="ru-RU"/>
          </w:rPr>
          <w:t>Единый федеральный реестр сведений о банкротстве</w:t>
        </w:r>
      </w:hyperlink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995B30">
          <w:rPr>
            <w:rStyle w:val="a3"/>
            <w:rFonts w:ascii="Segoe UI" w:eastAsia="Times New Roman" w:hAnsi="Segoe UI" w:cs="Segoe UI"/>
            <w:bCs/>
            <w:sz w:val="28"/>
            <w:szCs w:val="28"/>
            <w:lang w:eastAsia="ru-RU"/>
          </w:rPr>
          <w:t>https://bankrot.fedresurs.ru</w:t>
        </w:r>
      </w:hyperlink>
      <w:r w:rsidRPr="00995B30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содержит информацию о </w:t>
      </w:r>
      <w:r w:rsidRPr="00995B30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банкротстве застройщиков.</w:t>
      </w:r>
    </w:p>
    <w:p w:rsidR="00995B30" w:rsidRPr="00995B30" w:rsidRDefault="00995B30" w:rsidP="00995B30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В социальных сетях (форумы, группы), СМИ п</w:t>
      </w:r>
      <w:r w:rsidRPr="00995B30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>очитайте отзывы о компании, в том числе и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зучите мнение о предыдущих проектах застройщика. </w:t>
      </w:r>
    </w:p>
    <w:p w:rsidR="00995B30" w:rsidRPr="00995B30" w:rsidRDefault="00995B30" w:rsidP="00995B30">
      <w:pPr>
        <w:pStyle w:val="af"/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b/>
          <w:color w:val="000000"/>
          <w:sz w:val="28"/>
          <w:szCs w:val="28"/>
          <w:lang w:eastAsia="ru-RU"/>
        </w:rPr>
        <w:t>Проверить новостройку</w:t>
      </w:r>
    </w:p>
    <w:p w:rsidR="00995B30" w:rsidRPr="00995B30" w:rsidRDefault="00995B30" w:rsidP="00995B30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Сервис проверки новостроек в ЕИСЖС содержит актуальную информацию о строящемся объекте. </w:t>
      </w:r>
    </w:p>
    <w:p w:rsidR="00995B30" w:rsidRPr="00995B30" w:rsidRDefault="00995B30" w:rsidP="00995B30">
      <w:pPr>
        <w:shd w:val="clear" w:color="auto" w:fill="FFFFFF"/>
        <w:spacing w:after="0" w:line="240" w:lineRule="auto"/>
        <w:ind w:firstLine="708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Здесь вы сможете изучить</w:t>
      </w:r>
      <w:r w:rsidRPr="00995B30">
        <w:rPr>
          <w:rFonts w:ascii="Segoe UI" w:eastAsia="Times New Roman" w:hAnsi="Segoe UI" w:cs="Segoe UI"/>
          <w:bCs/>
          <w:color w:val="000000"/>
          <w:sz w:val="28"/>
          <w:szCs w:val="28"/>
          <w:lang w:eastAsia="ru-RU"/>
        </w:rPr>
        <w:t xml:space="preserve"> разрешение на строительство и проектную декларацию.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 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Кроме того,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 вы сможете увидеть актуальные фотографии и оценить темпы строительства.</w:t>
      </w:r>
    </w:p>
    <w:p w:rsidR="00995B30" w:rsidRPr="00995B30" w:rsidRDefault="00995B30" w:rsidP="00995B30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Информацию о земельном участке, на котором осуществляется строительство, можно получить на сайте Росреестра </w:t>
      </w:r>
      <w:hyperlink r:id="rId12" w:history="1">
        <w:r w:rsidRPr="00995B30">
          <w:rPr>
            <w:rStyle w:val="a3"/>
            <w:rFonts w:ascii="Segoe UI" w:eastAsia="Times New Roman" w:hAnsi="Segoe UI" w:cs="Segoe UI"/>
            <w:sz w:val="28"/>
            <w:szCs w:val="28"/>
            <w:lang w:eastAsia="ru-RU"/>
          </w:rPr>
          <w:t>https://rosreestr.gov.ru/eservices/services/</w:t>
        </w:r>
      </w:hyperlink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>, используя сервисы «Справочная информация по объектам недвижимости», «Публичная кадастровая карта».</w:t>
      </w:r>
    </w:p>
    <w:p w:rsidR="00995B30" w:rsidRPr="00995B30" w:rsidRDefault="00995B30" w:rsidP="00995B30">
      <w:pPr>
        <w:shd w:val="clear" w:color="auto" w:fill="FFFFFF"/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lastRenderedPageBreak/>
        <w:t>Соблюдая эти правила, потенциальный участник долевого строительства сможет минимизировать риски на первом этапе до заключения договора участия в долевом строительстве. </w:t>
      </w:r>
    </w:p>
    <w:p w:rsidR="00995B30" w:rsidRPr="00995B30" w:rsidRDefault="00995B30" w:rsidP="00995B30">
      <w:pPr>
        <w:pStyle w:val="af"/>
        <w:spacing w:after="0" w:line="240" w:lineRule="auto"/>
        <w:jc w:val="both"/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b/>
          <w:color w:val="000000"/>
          <w:sz w:val="28"/>
          <w:szCs w:val="28"/>
          <w:shd w:val="clear" w:color="auto" w:fill="FFFFFF"/>
        </w:rPr>
        <w:t>Проверить проект договора участия в долевом строительстве</w:t>
      </w:r>
    </w:p>
    <w:p w:rsidR="00995B30" w:rsidRPr="00995B30" w:rsidRDefault="00995B30" w:rsidP="00995B30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Несмотря на то, что договор участия в долевом строительстве подлежит государственной регистрации </w:t>
      </w:r>
      <w:r w:rsidRPr="00995B30"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  <w:t xml:space="preserve">в Росреестре, </w:t>
      </w: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 xml:space="preserve">следует внимательно изучить все условия договора на предмет их соответствия требованиям действующего законодательства. </w:t>
      </w:r>
    </w:p>
    <w:p w:rsidR="00995B30" w:rsidRPr="00995B30" w:rsidRDefault="00995B30" w:rsidP="00995B30">
      <w:pPr>
        <w:spacing w:after="0" w:line="240" w:lineRule="auto"/>
        <w:ind w:firstLine="709"/>
        <w:jc w:val="both"/>
        <w:rPr>
          <w:rFonts w:ascii="Segoe UI" w:hAnsi="Segoe UI" w:cs="Segoe UI"/>
          <w:color w:val="000000"/>
          <w:sz w:val="28"/>
          <w:szCs w:val="28"/>
          <w:shd w:val="clear" w:color="auto" w:fill="FFFFFF"/>
        </w:rPr>
      </w:pP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На что стоит обратить внимание:</w:t>
      </w:r>
    </w:p>
    <w:p w:rsidR="00995B30" w:rsidRPr="00995B30" w:rsidRDefault="00995B30" w:rsidP="00995B3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 xml:space="preserve">- соответствие сведений о строящемся доме информации в проектной декларации; </w:t>
      </w:r>
    </w:p>
    <w:p w:rsidR="00995B30" w:rsidRPr="00995B30" w:rsidRDefault="00995B30" w:rsidP="00995B3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z w:val="28"/>
          <w:szCs w:val="28"/>
        </w:rPr>
      </w:pPr>
      <w:r w:rsidRPr="00995B30">
        <w:rPr>
          <w:rFonts w:ascii="Segoe UI" w:hAnsi="Segoe UI" w:cs="Segoe UI"/>
          <w:color w:val="000000"/>
          <w:sz w:val="28"/>
          <w:szCs w:val="28"/>
        </w:rPr>
        <w:t>- порядок внесения денежных средств в счет оплаты цены договора (после государственной регистрации договора в Росреестре).</w:t>
      </w:r>
    </w:p>
    <w:p w:rsidR="00995B30" w:rsidRPr="00995B30" w:rsidRDefault="00995B30" w:rsidP="00995B30">
      <w:pPr>
        <w:spacing w:after="0" w:line="240" w:lineRule="auto"/>
        <w:ind w:left="360" w:firstLine="348"/>
        <w:jc w:val="both"/>
        <w:rPr>
          <w:rFonts w:ascii="Segoe UI" w:hAnsi="Segoe UI" w:cs="Segoe UI"/>
          <w:b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b/>
          <w:color w:val="000000" w:themeColor="text1"/>
          <w:sz w:val="28"/>
          <w:szCs w:val="28"/>
        </w:rPr>
        <w:t>Что еще важно знать о государственной регистрации</w:t>
      </w:r>
    </w:p>
    <w:p w:rsidR="00995B30" w:rsidRPr="00995B30" w:rsidRDefault="00995B30" w:rsidP="00995B30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>Завладеть чужим имуществом путем подачи документов на регистрацию, получив незаконный доступ к электронной подписи собственника, не получится.</w:t>
      </w:r>
    </w:p>
    <w:p w:rsidR="00995B30" w:rsidRPr="00995B30" w:rsidRDefault="00995B30" w:rsidP="00995B30">
      <w:pPr>
        <w:spacing w:after="0" w:line="240" w:lineRule="auto"/>
        <w:ind w:firstLine="708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>Осуществить сделку об отчуждении прав в электронном виде возможно только при наличии в сведениях Единого государственного реестра недвижимости специальной отметки.</w:t>
      </w:r>
    </w:p>
    <w:p w:rsidR="00995B30" w:rsidRPr="00995B30" w:rsidRDefault="00995B30" w:rsidP="00995B30">
      <w:pPr>
        <w:spacing w:after="0" w:line="240" w:lineRule="auto"/>
        <w:ind w:firstLine="708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 xml:space="preserve">Чтобы внести такую отметку </w:t>
      </w:r>
      <w:r w:rsidRPr="00995B30">
        <w:rPr>
          <w:rFonts w:ascii="Segoe UI" w:hAnsi="Segoe UI" w:cs="Segoe UI"/>
          <w:color w:val="000000"/>
          <w:sz w:val="28"/>
          <w:szCs w:val="28"/>
          <w:shd w:val="clear" w:color="auto" w:fill="FFFFFF"/>
        </w:rPr>
        <w:t>гражданин должен лично обратиться в офис МФЦ и подать соответствующее заявление.</w:t>
      </w:r>
    </w:p>
    <w:p w:rsidR="00995B30" w:rsidRPr="00995B30" w:rsidRDefault="00995B30" w:rsidP="00995B30">
      <w:pPr>
        <w:spacing w:after="0" w:line="240" w:lineRule="auto"/>
        <w:ind w:firstLine="709"/>
        <w:jc w:val="both"/>
        <w:rPr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>В ряде случаев представление такого заявления не требуется, например, если гражданин подает документы в электронном виде через кредитную организацию или застройщика, которые подключены к веб-сервисам Росреестра.</w:t>
      </w:r>
    </w:p>
    <w:p w:rsidR="00FB3C30" w:rsidRPr="00995B30" w:rsidRDefault="00995B30" w:rsidP="00995B30">
      <w:pPr>
        <w:spacing w:after="0" w:line="240" w:lineRule="auto"/>
        <w:ind w:firstLine="708"/>
        <w:jc w:val="both"/>
        <w:rPr>
          <w:rStyle w:val="apple-converted-space"/>
          <w:rFonts w:ascii="Segoe UI" w:hAnsi="Segoe UI" w:cs="Segoe UI"/>
          <w:color w:val="000000" w:themeColor="text1"/>
          <w:sz w:val="28"/>
          <w:szCs w:val="28"/>
        </w:rPr>
      </w:pPr>
      <w:r w:rsidRPr="00995B30">
        <w:rPr>
          <w:rFonts w:ascii="Segoe UI" w:hAnsi="Segoe UI" w:cs="Segoe UI"/>
          <w:color w:val="000000" w:themeColor="text1"/>
          <w:sz w:val="28"/>
          <w:szCs w:val="28"/>
        </w:rPr>
        <w:t>В качестве дополнительной гарантии Росреестр направляет правообладателю объекта недвижимости уведомление о поступлении в электронном виде документов для регистрации перехода прав, подписанных его электронной подписью.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</w:t>
      </w:r>
      <w:r w:rsidR="002621E0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ем</w:t>
      </w:r>
      <w:r w:rsidR="00B11B3D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19E7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</w:t>
      </w:r>
      <w:r w:rsidRPr="00141714">
        <w:rPr>
          <w:rFonts w:ascii="Segoe UI" w:hAnsi="Segoe UI" w:cs="Segoe UI"/>
          <w:sz w:val="18"/>
          <w:szCs w:val="18"/>
        </w:rPr>
        <w:lastRenderedPageBreak/>
        <w:t xml:space="preserve">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2621E0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3" w:history="1">
        <w:r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oko@r</w:t>
        </w:r>
        <w:r w:rsidRPr="003E08DB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54</w:t>
        </w:r>
        <w:r w:rsidRPr="003E08DB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4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5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6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7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8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C36" w:rsidRDefault="007C5C36" w:rsidP="00747FDB">
      <w:pPr>
        <w:spacing w:after="0" w:line="240" w:lineRule="auto"/>
      </w:pPr>
      <w:r>
        <w:separator/>
      </w:r>
    </w:p>
  </w:endnote>
  <w:endnote w:type="continuationSeparator" w:id="0">
    <w:p w:rsidR="007C5C36" w:rsidRDefault="007C5C36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C36" w:rsidRDefault="007C5C36" w:rsidP="00747FDB">
      <w:pPr>
        <w:spacing w:after="0" w:line="240" w:lineRule="auto"/>
      </w:pPr>
      <w:r>
        <w:separator/>
      </w:r>
    </w:p>
  </w:footnote>
  <w:footnote w:type="continuationSeparator" w:id="0">
    <w:p w:rsidR="007C5C36" w:rsidRDefault="007C5C36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13B" w:rsidRDefault="008F413B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F413B" w:rsidRDefault="008F41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C4378"/>
    <w:multiLevelType w:val="multilevel"/>
    <w:tmpl w:val="F7365622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ascii="Segoe UI" w:eastAsia="Times New Roman" w:hAnsi="Segoe UI" w:cs="Segoe UI" w:hint="default"/>
      </w:rPr>
    </w:lvl>
    <w:lvl w:ilvl="1">
      <w:start w:val="1"/>
      <w:numFmt w:val="decimal"/>
      <w:lvlText w:val="%2"/>
      <w:lvlJc w:val="left"/>
      <w:pPr>
        <w:ind w:left="2148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hint="default"/>
      </w:rPr>
    </w:lvl>
  </w:abstractNum>
  <w:abstractNum w:abstractNumId="5" w15:restartNumberingAfterBreak="0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621E0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7C5C36"/>
    <w:rsid w:val="0080229B"/>
    <w:rsid w:val="0083407C"/>
    <w:rsid w:val="00836E3C"/>
    <w:rsid w:val="008C6DC0"/>
    <w:rsid w:val="008C76F5"/>
    <w:rsid w:val="008F413B"/>
    <w:rsid w:val="009001A5"/>
    <w:rsid w:val="00901983"/>
    <w:rsid w:val="009058C7"/>
    <w:rsid w:val="00907414"/>
    <w:rsid w:val="00967E00"/>
    <w:rsid w:val="00991C84"/>
    <w:rsid w:val="00995B30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11B3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888E"/>
  <w15:docId w15:val="{76CCDDA5-E764-458F-AEB8-F9C03F97B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index.html" TargetMode="External"/><Relationship Id="rId13" Type="http://schemas.openxmlformats.org/officeDocument/2006/relationships/hyperlink" Target="mailto:oko@r54.rosreestr.ru" TargetMode="External"/><Relationship Id="rId18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rosreestr.gov.ru/eservices/services/" TargetMode="External"/><Relationship Id="rId17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ok.ru/group/7000000098786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nkrot.fedresur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rosreestr_nsk" TargetMode="External"/><Relationship Id="rId10" Type="http://schemas.openxmlformats.org/officeDocument/2006/relationships/hyperlink" Target="https://bankrot.fedresurs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&#1085;&#1072;&#1096;.&#1076;&#1086;&#1084;.&#1088;&#1092;" TargetMode="External"/><Relationship Id="rId14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Сидорова Юлия Алексеевна</cp:lastModifiedBy>
  <cp:revision>9</cp:revision>
  <cp:lastPrinted>2022-01-19T07:30:00Z</cp:lastPrinted>
  <dcterms:created xsi:type="dcterms:W3CDTF">2023-04-24T06:32:00Z</dcterms:created>
  <dcterms:modified xsi:type="dcterms:W3CDTF">2024-05-27T07:32:00Z</dcterms:modified>
</cp:coreProperties>
</file>