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Догазификация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жилых домов в СНТ: специалисты новосибирского Росреестра отв</w:t>
      </w:r>
      <w:r>
        <w:rPr>
          <w:rFonts w:ascii="Times New Roman" w:hAnsi="Times New Roman" w:cs="Times New Roman"/>
          <w:b/>
          <w:sz w:val="28"/>
          <w:szCs w:val="28"/>
        </w:rPr>
        <w:t xml:space="preserve">етили на вопросы жителей региона</w:t>
      </w:r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left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минувшей неделе Управление Росреестра по Новосибирской области провело 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орячую» телефонную линию по вопросам, возникающим при догазификации жилых домов в садовых некоммерческих товариществах (СНТ).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«горячей» линии поступило 7 звонков. Вопросы граждан касались возможности догазификации жилых домов, расположенных на землях сельскохозяйственного назначения, о сроках исполнения технического присоединения на основании уже заключенных договоров.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жителей области ответила главный специалист-эксперт отдела государственной регистрации недвижимости регионального Управления Росреестра Надежда Агафонова.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догазификация жилого дома в СНТ осуществляется бесплатно до границ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землях садоводческих товариществ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. Программа догазификации не применятся на жилые дома, расположенные на землях сельскохозяйственного назначения.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социальную программу догазификации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– владельцев недвижимости -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зарегистрированы в Едином государственном реестре недвижимости и на 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>
        <w:rPr>
          <w:rFonts w:ascii="Times New Roman" w:hAnsi="Times New Roman" w:cs="Times New Roman"/>
          <w:sz w:val="28"/>
          <w:szCs w:val="28"/>
        </w:rPr>
        <w:t xml:space="preserve">дом,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садовые дома и иные хозпостройки догазификация не распространяется. Поэтому при желании граждан газифицировать садовый дом в первую очередь необходимо его признать жилым.</w:t>
      </w:r>
      <w:r>
        <w:rPr>
          <w:rFonts w:ascii="Times New Roman" w:hAnsi="Times New Roman" w:cs="Times New Roman"/>
          <w:sz w:val="28"/>
          <w:szCs w:val="28"/>
        </w:rPr>
        <w:t xml:space="preserve"> Как садовый дом перевести в жилой – читайте в наших </w:t>
      </w:r>
      <w:hyperlink r:id="rId10" w:tooltip="https://vk.com/rosreestr_nsk?w=wall-118967869_5031" w:history="1">
        <w:r>
          <w:rPr>
            <w:rStyle w:val="830"/>
            <w:rFonts w:ascii="Times New Roman" w:hAnsi="Times New Roman" w:cs="Times New Roman"/>
            <w:sz w:val="28"/>
            <w:szCs w:val="28"/>
          </w:rPr>
          <w:t xml:space="preserve">инфокарточках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подробную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об особенностях газификации в СНТ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в методическом пособии </w:t>
      </w:r>
      <w:hyperlink r:id="rId11" w:tooltip="https://rosreestr.gov.ru/upload/Doc/press/%D0%93%D0%B0%D0%B7%D0%B8%D1%84%D0%B8%D0%BA%D0%B0%D1%86%D0%B8%D1%8F-2024(%D0%B8%D1%82%D0%BE%D0%B3).pdf" w:history="1">
        <w:r>
          <w:rPr>
            <w:rStyle w:val="830"/>
            <w:rFonts w:ascii="Times New Roman" w:hAnsi="Times New Roman" w:cs="Times New Roman"/>
            <w:sz w:val="28"/>
            <w:szCs w:val="28"/>
          </w:rPr>
          <w:t xml:space="preserve">«Шаги для догазификации жилых домов в СНТ»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специально разработанном Росреестром для садоводов.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можно ознакомиться с территориями Новосибирской области, в которых планируется до 2030 года проведение работ по газификации, по </w:t>
      </w:r>
      <w:hyperlink r:id="rId12" w:tooltip="https://rosreestr.gov.ru/open-service/statistika-i-analitika/informatsiya-ob-snt-popadayushchikh-v-programmu-gazifikatsii-405/" w:history="1">
        <w:r>
          <w:rPr>
            <w:rStyle w:val="830"/>
            <w:rFonts w:ascii="Times New Roman" w:hAnsi="Times New Roman" w:cs="Times New Roman"/>
            <w:sz w:val="28"/>
            <w:szCs w:val="28"/>
          </w:rPr>
          <w:t xml:space="preserve">ссылке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vk.com/rosreestr_nsk?w=wall-118967869_5031" TargetMode="External"/><Relationship Id="rId11" Type="http://schemas.openxmlformats.org/officeDocument/2006/relationships/hyperlink" Target="https://rosreestr.gov.ru/upload/Doc/press/%D0%93%D0%B0%D0%B7%D0%B8%D1%84%D0%B8%D0%BA%D0%B0%D1%86%D0%B8%D1%8F-2024(%D0%B8%D1%82%D0%BE%D0%B3).pdf" TargetMode="External"/><Relationship Id="rId12" Type="http://schemas.openxmlformats.org/officeDocument/2006/relationships/hyperlink" Target="https://rosreestr.gov.ru/open-service/statistika-i-analitika/informatsiya-ob-snt-popadayushchikh-v-programmu-gazifikatsii-40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303</cp:revision>
  <dcterms:created xsi:type="dcterms:W3CDTF">2009-04-08T02:19:00Z</dcterms:created>
  <dcterms:modified xsi:type="dcterms:W3CDTF">2025-09-02T03:08:04Z</dcterms:modified>
  <cp:version>917504</cp:version>
</cp:coreProperties>
</file>