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0731944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69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8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вернуть государственную пошлину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государственную регистрацию прав взимается государственная пошлина в соответствии с Налоговым кодексом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spacing w:line="330" w:lineRule="atLeast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Возникают ситуации, когда государственная пошлина оплачена в большем размере</w:t>
      </w:r>
      <w:r>
        <w:rPr>
          <w:bCs/>
          <w:sz w:val="28"/>
          <w:szCs w:val="28"/>
        </w:rPr>
        <w:t xml:space="preserve"> или у заявителя есть льготы по ее уплате.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9"/>
        <w:ind w:firstLine="708"/>
        <w:jc w:val="both"/>
        <w:spacing w:line="330" w:lineRule="atLeast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Вернуть гос</w:t>
      </w:r>
      <w:r>
        <w:rPr>
          <w:bCs/>
          <w:sz w:val="28"/>
          <w:szCs w:val="28"/>
        </w:rPr>
        <w:t xml:space="preserve">ударственную </w:t>
      </w:r>
      <w:r>
        <w:rPr>
          <w:bCs/>
          <w:sz w:val="28"/>
          <w:szCs w:val="28"/>
        </w:rPr>
        <w:t xml:space="preserve">пошлину можно в полном объёме или частично</w:t>
      </w:r>
      <w:r>
        <w:rPr>
          <w:sz w:val="28"/>
          <w:szCs w:val="28"/>
        </w:rPr>
        <w:t xml:space="preserve">. В полном объёме </w:t>
      </w:r>
      <w:r>
        <w:rPr>
          <w:sz w:val="28"/>
          <w:szCs w:val="28"/>
        </w:rPr>
        <w:t xml:space="preserve">государственная пошлина </w:t>
      </w:r>
      <w:r>
        <w:rPr>
          <w:sz w:val="28"/>
          <w:szCs w:val="28"/>
        </w:rPr>
        <w:t xml:space="preserve">возвраща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если </w:t>
      </w:r>
      <w:r>
        <w:rPr>
          <w:sz w:val="28"/>
          <w:szCs w:val="28"/>
        </w:rPr>
        <w:t xml:space="preserve">заявитель не подавал </w:t>
      </w:r>
      <w:r>
        <w:rPr>
          <w:sz w:val="28"/>
          <w:szCs w:val="28"/>
        </w:rPr>
        <w:t xml:space="preserve">документы в Росреестр</w:t>
      </w:r>
      <w:r>
        <w:rPr>
          <w:sz w:val="28"/>
          <w:szCs w:val="28"/>
        </w:rPr>
        <w:t xml:space="preserve">, а также</w:t>
      </w:r>
      <w:r>
        <w:rPr>
          <w:sz w:val="28"/>
          <w:szCs w:val="28"/>
        </w:rPr>
        <w:t xml:space="preserve"> если принято решение о</w:t>
      </w:r>
      <w:r>
        <w:rPr>
          <w:sz w:val="28"/>
          <w:szCs w:val="28"/>
        </w:rPr>
        <w:t xml:space="preserve"> возврате </w:t>
      </w:r>
      <w:r>
        <w:rPr>
          <w:sz w:val="28"/>
          <w:szCs w:val="28"/>
        </w:rPr>
        <w:t xml:space="preserve">представленных </w:t>
      </w:r>
      <w:r>
        <w:rPr>
          <w:sz w:val="28"/>
          <w:szCs w:val="28"/>
        </w:rPr>
        <w:t xml:space="preserve">документов без рассмотрения.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оловин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уплаченной суммы </w:t>
      </w:r>
      <w:r>
        <w:rPr>
          <w:sz w:val="28"/>
          <w:szCs w:val="28"/>
        </w:rPr>
        <w:t xml:space="preserve">возвращается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если принято решение </w:t>
      </w:r>
      <w:r>
        <w:rPr>
          <w:sz w:val="28"/>
          <w:szCs w:val="28"/>
        </w:rPr>
        <w:t xml:space="preserve">о прекращении </w:t>
      </w:r>
      <w:r>
        <w:rPr>
          <w:sz w:val="28"/>
          <w:szCs w:val="28"/>
        </w:rPr>
        <w:t xml:space="preserve">учетно-</w:t>
      </w:r>
      <w:r>
        <w:rPr>
          <w:sz w:val="28"/>
          <w:szCs w:val="28"/>
        </w:rPr>
        <w:t xml:space="preserve">регистрационных действий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 вынесении отказа в государственной регистрации, вернуть г</w:t>
      </w:r>
      <w:r>
        <w:rPr>
          <w:sz w:val="28"/>
          <w:szCs w:val="28"/>
          <w:shd w:val="clear" w:color="auto" w:fill="ffffff"/>
        </w:rPr>
        <w:t xml:space="preserve">осударственн</w:t>
      </w:r>
      <w:r>
        <w:rPr>
          <w:sz w:val="28"/>
          <w:szCs w:val="28"/>
          <w:shd w:val="clear" w:color="auto" w:fill="ffffff"/>
        </w:rPr>
        <w:t xml:space="preserve">ую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пошлину не получится.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69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Для возврата излишне оплаченной государственной пошлины необходимо подать заявление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69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в офисах Управления Росреестра по Новосибирской области,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69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 по почте на адрес </w:t>
      </w:r>
      <w:r>
        <w:rPr>
          <w:sz w:val="28"/>
          <w:szCs w:val="28"/>
          <w:shd w:val="clear" w:color="auto" w:fill="ffffff"/>
        </w:rPr>
        <w:t xml:space="preserve">630091, г. Новосибирск, ул. Державина, д. 28</w:t>
      </w:r>
      <w:r>
        <w:rPr>
          <w:sz w:val="28"/>
          <w:szCs w:val="28"/>
          <w:shd w:val="clear" w:color="auto" w:fill="ffffff"/>
        </w:rPr>
        <w:t xml:space="preserve">,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69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</w:t>
      </w:r>
      <w:r>
        <w:rPr>
          <w:sz w:val="28"/>
          <w:szCs w:val="28"/>
          <w:shd w:val="clear" w:color="auto" w:fill="ffffff"/>
        </w:rPr>
        <w:t xml:space="preserve"> через «Ли</w:t>
      </w:r>
      <w:r>
        <w:rPr>
          <w:sz w:val="28"/>
          <w:szCs w:val="28"/>
          <w:shd w:val="clear" w:color="auto" w:fill="ffffff"/>
        </w:rPr>
        <w:t xml:space="preserve">чный кабинет» официального сайта Росреестра в сети Интернет. Заявление, поданное в электронном виде, должно быть подписано усиленной квалифицированной электронной подписью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69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 заявлению прилагаются платежные документы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Заявление о возврате госпошлины можно подать в течение трёх лет</w:t>
      </w:r>
      <w:r>
        <w:rPr>
          <w:sz w:val="28"/>
          <w:szCs w:val="28"/>
        </w:rPr>
        <w:t xml:space="preserve"> со дня её уплаты. Возврат производится </w:t>
      </w:r>
      <w:r>
        <w:rPr>
          <w:bCs/>
          <w:sz w:val="28"/>
          <w:szCs w:val="28"/>
        </w:rPr>
        <w:t xml:space="preserve">в течение одного месяца</w:t>
      </w:r>
      <w:r>
        <w:rPr>
          <w:sz w:val="28"/>
          <w:szCs w:val="28"/>
        </w:rPr>
        <w:t xml:space="preserve"> со дня подачи заявления. Если в возврате средств отка</w:t>
      </w:r>
      <w:r>
        <w:rPr>
          <w:sz w:val="28"/>
          <w:szCs w:val="28"/>
        </w:rPr>
        <w:t xml:space="preserve">жут</w:t>
      </w:r>
      <w:r>
        <w:rPr>
          <w:sz w:val="28"/>
          <w:szCs w:val="28"/>
        </w:rPr>
        <w:t xml:space="preserve">, то на </w:t>
      </w:r>
      <w:r>
        <w:rPr>
          <w:sz w:val="28"/>
          <w:szCs w:val="28"/>
        </w:rPr>
        <w:t xml:space="preserve">адрес, указанный в заявлении, </w:t>
      </w:r>
      <w:r>
        <w:rPr>
          <w:sz w:val="28"/>
          <w:szCs w:val="28"/>
        </w:rPr>
        <w:t xml:space="preserve">поступит </w:t>
      </w:r>
      <w:r>
        <w:rPr>
          <w:sz w:val="28"/>
          <w:szCs w:val="28"/>
        </w:rPr>
        <w:t xml:space="preserve">соответствующее уведомление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Подробности на нашем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"https://rosreestr.gov.ru/activity/okazanie-gosudarstvennykh-uslug/kadastrovyy-uchet-i-ili-registratsiya-prav-/stoimost-rekvizity-i-obraztsy-platezhnykh-dokumentov/" </w:instrText>
      </w:r>
      <w:r>
        <w:rPr>
          <w:sz w:val="28"/>
          <w:szCs w:val="28"/>
        </w:rPr>
        <w:fldChar w:fldCharType="separate"/>
      </w:r>
      <w:r>
        <w:rPr>
          <w:rStyle w:val="878"/>
          <w:rFonts w:ascii="Times New Roman" w:hAnsi="Times New Roman"/>
          <w:sz w:val="28"/>
          <w:szCs w:val="28"/>
          <w:lang w:val="ru-RU" w:eastAsia="ru-RU"/>
        </w:rPr>
        <w:t xml:space="preserve">са</w:t>
      </w:r>
      <w:bookmarkStart w:id="0" w:name="_Hlt213761448"/>
      <w:r/>
      <w:bookmarkEnd w:id="0"/>
      <w:r/>
      <w:bookmarkStart w:id="1" w:name="_Hlt213761449"/>
      <w:r/>
      <w:bookmarkEnd w:id="1"/>
      <w:r>
        <w:rPr>
          <w:rStyle w:val="878"/>
          <w:rFonts w:ascii="Times New Roman" w:hAnsi="Times New Roman"/>
          <w:sz w:val="28"/>
          <w:szCs w:val="28"/>
          <w:lang w:val="ru-RU" w:eastAsia="ru-RU"/>
        </w:rPr>
        <w:t xml:space="preserve">й</w:t>
      </w:r>
      <w:bookmarkStart w:id="2" w:name="_Hlt213761600"/>
      <w:r/>
      <w:bookmarkStart w:id="3" w:name="_Hlt213761601"/>
      <w:r>
        <w:rPr>
          <w:rStyle w:val="878"/>
          <w:rFonts w:ascii="Times New Roman" w:hAnsi="Times New Roman"/>
          <w:sz w:val="28"/>
          <w:szCs w:val="28"/>
          <w:lang w:val="ru-RU" w:eastAsia="ru-RU"/>
        </w:rPr>
        <w:t xml:space="preserve">т</w:t>
      </w:r>
      <w:bookmarkEnd w:id="2"/>
      <w:r/>
      <w:bookmarkEnd w:id="3"/>
      <w:r>
        <w:rPr>
          <w:rStyle w:val="878"/>
          <w:rFonts w:ascii="Times New Roman" w:hAnsi="Times New Roman"/>
          <w:sz w:val="28"/>
          <w:szCs w:val="28"/>
          <w:lang w:val="ru-RU" w:eastAsia="ru-RU"/>
        </w:rPr>
        <w:t xml:space="preserve">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/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69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69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69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69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69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69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69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6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6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69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69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78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78"/>
          <w:rFonts w:ascii="Segoe UI" w:hAnsi="Segoe UI" w:cs="Segoe UI"/>
          <w:sz w:val="18"/>
          <w:szCs w:val="20"/>
        </w:rPr>
        <w:t xml:space="preserve">54</w:t>
      </w:r>
      <w:r>
        <w:rPr>
          <w:rStyle w:val="878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78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69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69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78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78"/>
          <w:rFonts w:ascii="Segoe UI" w:hAnsi="Segoe UI" w:cs="Segoe UI"/>
          <w:sz w:val="18"/>
          <w:szCs w:val="18"/>
        </w:rPr>
        <w:fldChar w:fldCharType="end"/>
      </w:r>
      <w:r>
        <w:rPr>
          <w:rStyle w:val="878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78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78"/>
          <w:rFonts w:ascii="Segoe UI" w:hAnsi="Segoe UI" w:cs="Segoe UI"/>
          <w:sz w:val="20"/>
          <w:szCs w:val="20"/>
        </w:rPr>
        <w:t xml:space="preserve">.</w:t>
      </w:r>
      <w:r>
        <w:rPr>
          <w:rStyle w:val="878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78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78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78"/>
          <w:rFonts w:ascii="Segoe UI" w:hAnsi="Segoe UI" w:cs="Segoe UI"/>
          <w:sz w:val="20"/>
        </w:rPr>
        <w:t xml:space="preserve">Телеграм</w:t>
      </w:r>
      <w:r>
        <w:rPr>
          <w:rStyle w:val="878"/>
          <w:rFonts w:ascii="Segoe UI" w:hAnsi="Segoe UI" w:cs="Segoe UI"/>
          <w:sz w:val="20"/>
        </w:rPr>
        <w:fldChar w:fldCharType="end"/>
      </w:r>
      <w:r/>
      <w:r/>
    </w:p>
    <w:p>
      <w:pPr>
        <w:pStyle w:val="86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Times New Roman">
    <w:panose1 w:val="02020603050405020304"/>
  </w:font>
  <w:font w:name="Times New Roman CYR">
    <w:panose1 w:val="02000603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both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pStyle w:val="873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9"/>
    <w:next w:val="869"/>
    <w:link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link w:val="691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9"/>
    <w:next w:val="869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9"/>
    <w:next w:val="869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869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next w:val="869"/>
    <w:link w:val="869"/>
    <w:qFormat/>
    <w:rPr>
      <w:lang w:val="ru-RU" w:eastAsia="ru-RU" w:bidi="ar-SA"/>
    </w:rPr>
  </w:style>
  <w:style w:type="character" w:styleId="870">
    <w:name w:val="Основной шрифт абзаца"/>
    <w:next w:val="870"/>
    <w:link w:val="869"/>
    <w:semiHidden/>
    <w:rPr>
      <w:rFonts w:ascii="Verdana" w:hAnsi="Verdana"/>
      <w:lang w:val="en-US" w:eastAsia="en-US" w:bidi="ar-SA"/>
    </w:rPr>
  </w:style>
  <w:style w:type="table" w:styleId="871">
    <w:name w:val="Обычная таблица"/>
    <w:next w:val="871"/>
    <w:link w:val="869"/>
    <w:semiHidden/>
    <w:tblPr/>
  </w:style>
  <w:style w:type="numbering" w:styleId="872">
    <w:name w:val="Нет списка"/>
    <w:next w:val="872"/>
    <w:link w:val="869"/>
    <w:semiHidden/>
  </w:style>
  <w:style w:type="paragraph" w:styleId="873">
    <w:name w:val=" Знак1"/>
    <w:basedOn w:val="869"/>
    <w:next w:val="873"/>
    <w:link w:val="869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874">
    <w:name w:val="Текст выноски"/>
    <w:basedOn w:val="869"/>
    <w:next w:val="874"/>
    <w:link w:val="869"/>
    <w:semiHidden/>
    <w:rPr>
      <w:rFonts w:ascii="Tahoma" w:hAnsi="Tahoma" w:cs="Tahoma"/>
      <w:sz w:val="16"/>
      <w:szCs w:val="16"/>
    </w:rPr>
  </w:style>
  <w:style w:type="paragraph" w:styleId="875">
    <w:name w:val="Верхний колонтитул"/>
    <w:basedOn w:val="869"/>
    <w:next w:val="875"/>
    <w:link w:val="869"/>
    <w:pPr>
      <w:tabs>
        <w:tab w:val="center" w:pos="4677" w:leader="none"/>
        <w:tab w:val="right" w:pos="9355" w:leader="none"/>
      </w:tabs>
    </w:pPr>
  </w:style>
  <w:style w:type="character" w:styleId="876">
    <w:name w:val="Номер страницы"/>
    <w:basedOn w:val="870"/>
    <w:next w:val="876"/>
    <w:link w:val="869"/>
  </w:style>
  <w:style w:type="character" w:styleId="877">
    <w:name w:val="apple-style-span"/>
    <w:basedOn w:val="870"/>
    <w:next w:val="877"/>
    <w:link w:val="869"/>
  </w:style>
  <w:style w:type="character" w:styleId="878">
    <w:name w:val="Гиперссылка"/>
    <w:next w:val="878"/>
    <w:link w:val="869"/>
    <w:rPr>
      <w:rFonts w:ascii="Verdana" w:hAnsi="Verdana"/>
      <w:color w:val="0000ff"/>
      <w:u w:val="single"/>
      <w:lang w:val="en-US" w:eastAsia="en-US" w:bidi="ar-SA"/>
    </w:rPr>
  </w:style>
  <w:style w:type="table" w:styleId="879">
    <w:name w:val="Сетка таблицы"/>
    <w:basedOn w:val="871"/>
    <w:next w:val="879"/>
    <w:link w:val="869"/>
    <w:tblPr/>
  </w:style>
  <w:style w:type="paragraph" w:styleId="880">
    <w:name w:val="Нижний колонтитул"/>
    <w:basedOn w:val="869"/>
    <w:next w:val="880"/>
    <w:link w:val="881"/>
    <w:pPr>
      <w:tabs>
        <w:tab w:val="center" w:pos="4677" w:leader="none"/>
        <w:tab w:val="right" w:pos="9355" w:leader="none"/>
      </w:tabs>
    </w:pPr>
  </w:style>
  <w:style w:type="character" w:styleId="881">
    <w:name w:val="Нижний колонтитул Знак"/>
    <w:basedOn w:val="870"/>
    <w:next w:val="881"/>
    <w:link w:val="880"/>
  </w:style>
  <w:style w:type="character" w:styleId="882">
    <w:name w:val="uv3um"/>
    <w:next w:val="882"/>
    <w:link w:val="869"/>
  </w:style>
  <w:style w:type="paragraph" w:styleId="883">
    <w:name w:val="Обычный (веб)"/>
    <w:basedOn w:val="869"/>
    <w:next w:val="883"/>
    <w:link w:val="86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84">
    <w:name w:val="matching-text-highlight"/>
    <w:next w:val="884"/>
    <w:link w:val="869"/>
  </w:style>
  <w:style w:type="character" w:styleId="885">
    <w:name w:val="Просмотренная гиперссылка"/>
    <w:next w:val="885"/>
    <w:link w:val="869"/>
    <w:rPr>
      <w:rFonts w:ascii="Verdana" w:hAnsi="Verdana"/>
      <w:color w:val="954f72"/>
      <w:u w:val="single"/>
      <w:lang w:val="en-US" w:eastAsia="en-US" w:bidi="ar-SA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Computer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revision>25</cp:revision>
  <dcterms:created xsi:type="dcterms:W3CDTF">2025-07-08T11:10:00Z</dcterms:created>
  <dcterms:modified xsi:type="dcterms:W3CDTF">2025-11-12T04:15:09Z</dcterms:modified>
  <cp:version>1048576</cp:version>
</cp:coreProperties>
</file>