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075" cy="75247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5pt;height:59.2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  <w:t xml:space="preserve">НСПД</w:t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right"/>
        <w:rPr>
          <w:b/>
          <w:bCs/>
          <w:color w:val="5b9bd5"/>
          <w:sz w:val="28"/>
          <w:szCs w:val="28"/>
        </w:rPr>
      </w:pP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  <w:r>
        <w:rPr>
          <w:b/>
          <w:bCs/>
          <w:color w:val="5b9bd5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Новосибирской области расширилась география проведения комплексных кадастровых работ федерального значения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Комплексные кадастровые работы являются одним из наиболее эффективных способов наполнения </w:t>
      </w:r>
      <w:r>
        <w:rPr>
          <w:sz w:val="28"/>
          <w:szCs w:val="28"/>
        </w:rPr>
        <w:t xml:space="preserve">Единого государственного реестра недвижимости (</w:t>
      </w:r>
      <w:r>
        <w:rPr>
          <w:sz w:val="28"/>
          <w:szCs w:val="28"/>
        </w:rPr>
        <w:t xml:space="preserve">ЕГРН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В 2025 году комплексные кадастровые работы (ККР) федерального значения впервые проводятся филиалами ППК «Роскадастр» в 87 субъектах страны.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начала года филиал </w:t>
      </w:r>
      <w:r>
        <w:rPr>
          <w:sz w:val="28"/>
          <w:szCs w:val="28"/>
        </w:rPr>
        <w:t xml:space="preserve">ППК «Роскадастр» по Новосибирской области </w:t>
      </w:r>
      <w:hyperlink r:id="rId10" w:tooltip="https://kadastr.ru/magazine/news/regionalnyy-roskadastr-izveshchaet-o-nachale-vypolneniya-kompleksnykh-kadastrovykh-rabot-na-territor/" w:history="1">
        <w:r>
          <w:rPr>
            <w:rStyle w:val="851"/>
            <w:sz w:val="28"/>
            <w:szCs w:val="28"/>
          </w:rPr>
          <w:t xml:space="preserve">выполняет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ККР федерального значения</w:t>
      </w:r>
      <w:r>
        <w:rPr>
          <w:sz w:val="28"/>
          <w:szCs w:val="28"/>
        </w:rPr>
        <w:t xml:space="preserve"> на территории 125 кадастровых кварталов. Это населенные пункты Венгеровского, Искитимского, Каргатского, Колыванского, Коченевского, а также Мошковского, Ордынского, Тогучинского и Черепановского районов.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1 июня</w:t>
      </w:r>
      <w:r>
        <w:rPr>
          <w:sz w:val="28"/>
          <w:szCs w:val="28"/>
        </w:rPr>
        <w:t xml:space="preserve"> этого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Роскадастр</w:t>
      </w:r>
      <w:r>
        <w:rPr>
          <w:sz w:val="28"/>
          <w:szCs w:val="28"/>
        </w:rPr>
        <w:t xml:space="preserve"> </w:t>
      </w:r>
      <w:hyperlink r:id="rId11" w:tooltip="https://kadastr.ru/magazine/news/regionalnyy-roskadastr-informiruet-o-vypolnenii-kompleksnykh-kadastrovykh-rabot-na-territorii-novosi/" w:history="1">
        <w:r>
          <w:rPr>
            <w:rStyle w:val="851"/>
            <w:sz w:val="28"/>
            <w:szCs w:val="28"/>
          </w:rPr>
          <w:t xml:space="preserve">приступил</w:t>
        </w:r>
      </w:hyperlink>
      <w:r>
        <w:rPr>
          <w:sz w:val="28"/>
          <w:szCs w:val="28"/>
        </w:rPr>
        <w:t xml:space="preserve"> к выполнению работ на территории еще 44 кадастровых кварталов. До конца года работы будут также проведены в Маслянинском, Сузунском районах и в нескольких кадастровых кварталах вышеперечисленных районов.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 увеличении количества территорий </w:t>
      </w:r>
      <w:r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ККР</w:t>
      </w:r>
      <w:r>
        <w:rPr>
          <w:sz w:val="28"/>
          <w:szCs w:val="28"/>
        </w:rPr>
        <w:t xml:space="preserve"> федерального значения</w:t>
      </w:r>
      <w:r>
        <w:rPr>
          <w:sz w:val="28"/>
          <w:szCs w:val="28"/>
        </w:rPr>
        <w:t xml:space="preserve">, запланированных на 2025 год,</w:t>
      </w:r>
      <w:r>
        <w:rPr>
          <w:sz w:val="28"/>
          <w:szCs w:val="28"/>
        </w:rPr>
        <w:t xml:space="preserve"> рассказал директор филиала ППК «Роскадастр» по Новосибирской области Виталий Герлиц в эфире </w:t>
      </w:r>
      <w:hyperlink r:id="rId12" w:tooltip="https://rutube.ru/video/95956878525081c24988f8d5071bd262/" w:history="1">
        <w:r>
          <w:rPr>
            <w:rStyle w:val="851"/>
            <w:sz w:val="28"/>
            <w:szCs w:val="28"/>
          </w:rPr>
          <w:t xml:space="preserve">программы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Регион </w:t>
      </w:r>
      <w:r>
        <w:rPr>
          <w:sz w:val="28"/>
          <w:szCs w:val="28"/>
          <w:lang w:val="en-US"/>
        </w:rPr>
        <w:t xml:space="preserve">LIFE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телеканале ОТС.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ККР</w:t>
      </w:r>
      <w:r>
        <w:rPr>
          <w:sz w:val="28"/>
          <w:szCs w:val="28"/>
        </w:rPr>
        <w:t xml:space="preserve"> уточняется местоположение зданий и границ земельных участков, исправляются реестровые ошибки в отношении объектов недвижимости на территории нескольких кадастровых кварталов. Работы проводятся без привлечения </w:t>
      </w:r>
      <w:r>
        <w:rPr>
          <w:sz w:val="28"/>
          <w:szCs w:val="28"/>
        </w:rPr>
        <w:t xml:space="preserve">финансовых </w:t>
      </w:r>
      <w:r>
        <w:rPr>
          <w:sz w:val="28"/>
          <w:szCs w:val="28"/>
        </w:rPr>
        <w:t xml:space="preserve">средств правообладателей.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</w:t>
      </w:r>
      <w:r>
        <w:rPr>
          <w:sz w:val="28"/>
          <w:szCs w:val="28"/>
        </w:rPr>
        <w:t xml:space="preserve">того, с</w:t>
      </w:r>
      <w:r>
        <w:rPr>
          <w:sz w:val="28"/>
          <w:szCs w:val="28"/>
        </w:rPr>
        <w:t xml:space="preserve">обственникам не нужно самостоятельно обращаться за услугами по межеванию и внесению сведений в ЕГРН.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Владельцы объектов недвижимости, попадающих в область проведения работ, получают </w:t>
      </w:r>
      <w:r>
        <w:rPr>
          <w:sz w:val="28"/>
          <w:szCs w:val="28"/>
        </w:rPr>
        <w:t xml:space="preserve">извещения </w:t>
      </w:r>
      <w:r>
        <w:rPr>
          <w:sz w:val="28"/>
          <w:szCs w:val="28"/>
        </w:rPr>
        <w:t xml:space="preserve">о начале </w:t>
      </w:r>
      <w:r>
        <w:rPr>
          <w:sz w:val="28"/>
          <w:szCs w:val="28"/>
        </w:rPr>
        <w:t xml:space="preserve">выполнения ККР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или актуализировать в ЕГРН адрес электронной почты</w:t>
      </w:r>
      <w:r>
        <w:rPr>
          <w:sz w:val="28"/>
          <w:szCs w:val="28"/>
        </w:rPr>
        <w:t xml:space="preserve"> для получения уведомлений можно</w:t>
      </w:r>
      <w:r>
        <w:rPr>
          <w:sz w:val="28"/>
          <w:szCs w:val="28"/>
        </w:rPr>
        <w:t xml:space="preserve">, пода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hyperlink r:id="rId13" w:tooltip="портале%20" w:history="1">
        <w:r>
          <w:rPr>
            <w:rStyle w:val="851"/>
            <w:sz w:val="28"/>
            <w:szCs w:val="28"/>
          </w:rPr>
          <w:t xml:space="preserve">портале</w:t>
        </w:r>
      </w:hyperlink>
      <w:r>
        <w:rPr>
          <w:sz w:val="28"/>
          <w:szCs w:val="28"/>
        </w:rPr>
        <w:t xml:space="preserve"> «Госуслуги» </w:t>
      </w:r>
      <w:r>
        <w:rPr>
          <w:sz w:val="28"/>
          <w:szCs w:val="28"/>
        </w:rPr>
        <w:t xml:space="preserve">или в </w:t>
      </w:r>
      <w:hyperlink r:id="rId14" w:tooltip="https://www.mfc-nso.ru/" w:history="1">
        <w:r>
          <w:rPr>
            <w:rStyle w:val="851"/>
            <w:sz w:val="28"/>
            <w:szCs w:val="28"/>
          </w:rPr>
          <w:t xml:space="preserve">центре</w:t>
        </w:r>
      </w:hyperlink>
      <w:r>
        <w:rPr>
          <w:sz w:val="28"/>
          <w:szCs w:val="28"/>
        </w:rPr>
        <w:t xml:space="preserve"> «Мои документы» (МФЦ).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Подготовленные специалистами</w:t>
      </w:r>
      <w:r>
        <w:rPr>
          <w:bCs/>
          <w:sz w:val="28"/>
          <w:szCs w:val="28"/>
        </w:rPr>
        <w:t xml:space="preserve"> новосибирского Роскадастра</w:t>
      </w:r>
      <w:r>
        <w:rPr>
          <w:bCs/>
          <w:sz w:val="28"/>
          <w:szCs w:val="28"/>
        </w:rPr>
        <w:t xml:space="preserve"> проекты карт-планов территорий проходят процедуру согласования органом местного самоуправления в течение двух месяцев.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обственники могут </w:t>
      </w:r>
      <w:r>
        <w:rPr>
          <w:bCs/>
          <w:sz w:val="28"/>
          <w:szCs w:val="28"/>
        </w:rPr>
        <w:t xml:space="preserve">участвовать в работе согласительных комиссий при администрациях и </w:t>
      </w:r>
      <w:r>
        <w:rPr>
          <w:bCs/>
          <w:sz w:val="28"/>
          <w:szCs w:val="28"/>
        </w:rPr>
        <w:t xml:space="preserve">принимать решения об утверждении границ объектов и регулировать возможные споры между соседями.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материал подготовлен Управлением Росреестра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jc w:val="right"/>
        <w:rPr>
          <w:rFonts w:ascii="Segoe UI" w:hAnsi="Segoe UI" w:eastAsia="Quattrocento Sans" w:cs="Segoe UI"/>
          <w:b/>
          <w:i/>
          <w:color w:val="000000"/>
          <w:sz w:val="10"/>
        </w:rPr>
      </w:pP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  <w:r>
        <w:rPr>
          <w:rFonts w:ascii="Segoe UI" w:hAnsi="Segoe UI" w:eastAsia="Quattrocento Sans" w:cs="Segoe UI"/>
          <w:b/>
          <w:i/>
          <w:color w:val="000000"/>
          <w:sz w:val="10"/>
        </w:rPr>
      </w:r>
    </w:p>
    <w:p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val 0"/>
                            <a:gd name="gd10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1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l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</w:t>
      </w:r>
      <w:r>
        <w:rPr>
          <w:rFonts w:ascii="Segoe UI" w:hAnsi="Segoe UI" w:cs="Segoe UI"/>
          <w:sz w:val="18"/>
          <w:szCs w:val="18"/>
        </w:rPr>
        <w:t xml:space="preserve">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</w:t>
      </w:r>
      <w:r>
        <w:rPr>
          <w:rFonts w:ascii="Segoe UI" w:hAnsi="Segoe UI" w:cs="Segoe UI"/>
          <w:sz w:val="18"/>
          <w:szCs w:val="18"/>
        </w:rPr>
        <w:t xml:space="preserve">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</w:t>
      </w:r>
      <w:r>
        <w:rPr>
          <w:rFonts w:ascii="Segoe UI" w:hAnsi="Segoe UI" w:cs="Segoe UI"/>
          <w:sz w:val="18"/>
          <w:szCs w:val="18"/>
        </w:rPr>
        <w:t xml:space="preserve">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</w:t>
      </w:r>
      <w:r>
        <w:rPr>
          <w:rFonts w:ascii="Segoe UI" w:hAnsi="Segoe UI" w:cs="Segoe UI"/>
          <w:sz w:val="18"/>
          <w:szCs w:val="18"/>
        </w:rPr>
        <w:t xml:space="preserve">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 Новосибирск, ул. 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6"/>
          <w:szCs w:val="18"/>
        </w:rPr>
      </w:pPr>
      <w:r/>
      <w:hyperlink r:id="rId15" w:tooltip="mailto:oko@r54.rosreestr.ru" w:history="1"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oko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@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54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rosreestr</w:t>
        </w:r>
        <w:r>
          <w:rPr>
            <w:rStyle w:val="851"/>
            <w:rFonts w:ascii="Segoe UI" w:hAnsi="Segoe UI" w:cs="Segoe UI"/>
            <w:sz w:val="18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18"/>
            <w:szCs w:val="20"/>
            <w:lang w:val="en-US"/>
          </w:rPr>
          <w:t xml:space="preserve">ru</w:t>
        </w:r>
      </w:hyperlink>
      <w:r>
        <w:rPr>
          <w:rFonts w:ascii="Segoe UI" w:hAnsi="Segoe UI" w:cs="Segoe UI"/>
          <w:color w:val="000000"/>
          <w:sz w:val="16"/>
          <w:szCs w:val="18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6" w:tooltip="https://rosreestr.gov.ru/" w:history="1">
        <w:r>
          <w:rPr>
            <w:rFonts w:ascii="Segoe UI" w:hAnsi="Segoe UI" w:cs="Segoe UI"/>
            <w:color w:val="0000ff"/>
            <w:sz w:val="20"/>
            <w:szCs w:val="20"/>
            <w:u w:val="single"/>
          </w:rPr>
          <w:t xml:space="preserve">Росреестр</w:t>
        </w:r>
      </w:hyperlink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7" w:tooltip="https://vk.com/rosreestr_nsk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 xml:space="preserve"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8" w:tooltip="https://ok.ru/group/70000000987860" w:history="1">
        <w:r>
          <w:rPr>
            <w:rStyle w:val="851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851"/>
          <w:rFonts w:ascii="Segoe UI" w:hAnsi="Segoe UI" w:cs="Segoe UI"/>
          <w:sz w:val="18"/>
          <w:szCs w:val="18"/>
        </w:rPr>
        <w:t xml:space="preserve">, </w:t>
      </w:r>
      <w:hyperlink r:id="rId19" w:tooltip="https://dzen.ru/rosreestr_nsk" w:history="1">
        <w:r>
          <w:rPr>
            <w:rStyle w:val="851"/>
            <w:rFonts w:ascii="Segoe UI" w:hAnsi="Segoe UI" w:cs="Segoe UI"/>
            <w:sz w:val="20"/>
            <w:szCs w:val="20"/>
          </w:rPr>
          <w:t xml:space="preserve">Яндекс</w:t>
        </w:r>
        <w:r>
          <w:rPr>
            <w:rStyle w:val="851"/>
            <w:rFonts w:ascii="Segoe UI" w:hAnsi="Segoe UI" w:cs="Segoe UI"/>
            <w:sz w:val="20"/>
            <w:szCs w:val="20"/>
          </w:rPr>
          <w:t xml:space="preserve">.</w:t>
        </w:r>
        <w:r>
          <w:rPr>
            <w:rStyle w:val="851"/>
            <w:rFonts w:ascii="Segoe UI" w:hAnsi="Segoe UI" w:cs="Segoe UI"/>
            <w:sz w:val="20"/>
            <w:szCs w:val="20"/>
          </w:rPr>
          <w:t xml:space="preserve">Дзен</w:t>
        </w:r>
      </w:hyperlink>
      <w:r>
        <w:rPr>
          <w:rStyle w:val="851"/>
          <w:rFonts w:ascii="Segoe UI" w:hAnsi="Segoe UI" w:cs="Segoe UI"/>
          <w:sz w:val="20"/>
          <w:szCs w:val="20"/>
        </w:rPr>
        <w:t xml:space="preserve">, </w:t>
      </w:r>
      <w:hyperlink r:id="rId20" w:tooltip="https://t.me/rosreestr_nsk" w:history="1">
        <w:r>
          <w:rPr>
            <w:rStyle w:val="851"/>
            <w:rFonts w:ascii="Segoe UI" w:hAnsi="Segoe UI" w:cs="Segoe UI"/>
            <w:sz w:val="20"/>
          </w:rPr>
          <w:t xml:space="preserve">Телеграм</w:t>
        </w:r>
      </w:hyperlink>
      <w:r/>
      <w:r/>
    </w:p>
    <w:sectPr>
      <w:footnotePr/>
      <w:endnotePr/>
      <w:type w:val="nextPage"/>
      <w:pgSz w:w="11906" w:h="16838" w:orient="portrait"/>
      <w:pgMar w:top="851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Liberation Serif">
    <w:panose1 w:val="02020603050405020304"/>
  </w:font>
  <w:font w:name="Tahoma">
    <w:panose1 w:val="020B0604030504040204"/>
  </w:font>
  <w:font w:name="Quattrocento Sans">
    <w:panose1 w:val="02000603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697"/>
    <w:link w:val="711"/>
    <w:uiPriority w:val="10"/>
    <w:rPr>
      <w:sz w:val="48"/>
      <w:szCs w:val="48"/>
    </w:rPr>
  </w:style>
  <w:style w:type="character" w:styleId="680">
    <w:name w:val="Subtitle Char"/>
    <w:basedOn w:val="697"/>
    <w:link w:val="713"/>
    <w:uiPriority w:val="11"/>
    <w:rPr>
      <w:sz w:val="24"/>
      <w:szCs w:val="24"/>
    </w:rPr>
  </w:style>
  <w:style w:type="character" w:styleId="681">
    <w:name w:val="Quote Char"/>
    <w:link w:val="715"/>
    <w:uiPriority w:val="29"/>
    <w:rPr>
      <w:i/>
    </w:rPr>
  </w:style>
  <w:style w:type="character" w:styleId="682">
    <w:name w:val="Intense Quote Char"/>
    <w:link w:val="717"/>
    <w:uiPriority w:val="30"/>
    <w:rPr>
      <w:i/>
    </w:rPr>
  </w:style>
  <w:style w:type="character" w:styleId="683">
    <w:name w:val="Header Char"/>
    <w:basedOn w:val="697"/>
    <w:link w:val="719"/>
    <w:uiPriority w:val="99"/>
  </w:style>
  <w:style w:type="character" w:styleId="684">
    <w:name w:val="Caption Char"/>
    <w:basedOn w:val="723"/>
    <w:link w:val="721"/>
    <w:uiPriority w:val="99"/>
  </w:style>
  <w:style w:type="character" w:styleId="685">
    <w:name w:val="Footnote Text Char"/>
    <w:link w:val="852"/>
    <w:uiPriority w:val="99"/>
    <w:rPr>
      <w:sz w:val="18"/>
    </w:rPr>
  </w:style>
  <w:style w:type="character" w:styleId="686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sz w:val="24"/>
      <w:szCs w:val="24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link w:val="70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10">
    <w:name w:val="No Spacing"/>
    <w:uiPriority w:val="1"/>
    <w:qFormat/>
    <w:rPr>
      <w:lang w:eastAsia="zh-CN"/>
    </w:rPr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link w:val="719"/>
    <w:uiPriority w:val="99"/>
  </w:style>
  <w:style w:type="paragraph" w:styleId="721">
    <w:name w:val="Footer"/>
    <w:basedOn w:val="687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698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rPr>
      <w:color w:val="0000ff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87"/>
    <w:next w:val="687"/>
    <w:uiPriority w:val="99"/>
    <w:unhideWhenUsed/>
  </w:style>
  <w:style w:type="paragraph" w:styleId="869">
    <w:name w:val="Balloon Text"/>
    <w:basedOn w:val="687"/>
    <w:semiHidden/>
    <w:rPr>
      <w:rFonts w:ascii="Tahoma" w:hAnsi="Tahoma" w:cs="Tahoma"/>
      <w:sz w:val="16"/>
      <w:szCs w:val="16"/>
    </w:rPr>
  </w:style>
  <w:style w:type="paragraph" w:styleId="870">
    <w:name w:val="Body Text Indent"/>
    <w:basedOn w:val="687"/>
    <w:pPr>
      <w:ind w:left="6481"/>
      <w:spacing w:before="2400"/>
    </w:pPr>
    <w:rPr>
      <w:sz w:val="28"/>
      <w:szCs w:val="20"/>
    </w:rPr>
  </w:style>
  <w:style w:type="paragraph" w:styleId="871">
    <w:name w:val="Body Text"/>
    <w:basedOn w:val="687"/>
    <w:pPr>
      <w:spacing w:after="120"/>
    </w:pPr>
  </w:style>
  <w:style w:type="paragraph" w:styleId="872">
    <w:name w:val="Normal (Web)"/>
    <w:basedOn w:val="687"/>
    <w:uiPriority w:val="99"/>
    <w:pPr>
      <w:spacing w:before="100" w:beforeAutospacing="1" w:after="100" w:afterAutospacing="1"/>
    </w:pPr>
  </w:style>
  <w:style w:type="character" w:styleId="873" w:customStyle="1">
    <w:name w:val="apple-converted-space"/>
    <w:basedOn w:val="697"/>
  </w:style>
  <w:style w:type="character" w:styleId="874" w:customStyle="1">
    <w:name w:val="visited"/>
    <w:basedOn w:val="697"/>
  </w:style>
  <w:style w:type="character" w:styleId="875" w:customStyle="1">
    <w:name w:val="blk"/>
    <w:basedOn w:val="697"/>
  </w:style>
  <w:style w:type="character" w:styleId="876" w:customStyle="1">
    <w:name w:val="match"/>
    <w:basedOn w:val="697"/>
  </w:style>
  <w:style w:type="paragraph" w:styleId="877" w:customStyle="1">
    <w:name w:val="formattext topleveltext"/>
    <w:basedOn w:val="687"/>
    <w:pPr>
      <w:spacing w:before="100" w:beforeAutospacing="1" w:after="100" w:afterAutospacing="1"/>
    </w:pPr>
  </w:style>
  <w:style w:type="paragraph" w:styleId="878">
    <w:name w:val="Body Text Indent 2"/>
    <w:basedOn w:val="687"/>
    <w:pPr>
      <w:ind w:left="283"/>
      <w:spacing w:after="120" w:line="480" w:lineRule="auto"/>
    </w:pPr>
  </w:style>
  <w:style w:type="paragraph" w:styleId="879" w:customStyle="1">
    <w:name w:val="ConsPlusNormal"/>
    <w:link w:val="881"/>
    <w:rPr>
      <w:sz w:val="26"/>
      <w:szCs w:val="26"/>
    </w:rPr>
  </w:style>
  <w:style w:type="paragraph" w:styleId="880" w:customStyle="1">
    <w:name w:val="Знак Знак Знак Знак Знак Знак Знак Знак Знак Знак Знак Знак"/>
    <w:basedOn w:val="687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81" w:customStyle="1">
    <w:name w:val="ConsPlusNormal Знак"/>
    <w:link w:val="879"/>
    <w:rPr>
      <w:sz w:val="26"/>
      <w:szCs w:val="26"/>
      <w:lang w:val="ru-RU" w:eastAsia="ru-RU" w:bidi="ar-SA"/>
    </w:rPr>
  </w:style>
  <w:style w:type="paragraph" w:styleId="882" w:customStyle="1">
    <w:name w:val="Название"/>
    <w:basedOn w:val="687"/>
    <w:link w:val="883"/>
    <w:qFormat/>
    <w:pPr>
      <w:ind w:firstLine="709"/>
      <w:jc w:val="center"/>
    </w:pPr>
    <w:rPr>
      <w:b/>
      <w:szCs w:val="20"/>
    </w:rPr>
  </w:style>
  <w:style w:type="character" w:styleId="883" w:customStyle="1">
    <w:name w:val="Название Знак"/>
    <w:link w:val="882"/>
    <w:rPr>
      <w:b/>
      <w:sz w:val="24"/>
      <w:lang w:val="ru-RU" w:eastAsia="ru-RU" w:bidi="ar-SA"/>
    </w:rPr>
  </w:style>
  <w:style w:type="character" w:styleId="884">
    <w:name w:val="Strong"/>
    <w:uiPriority w:val="22"/>
    <w:qFormat/>
    <w:rPr>
      <w:b/>
      <w:bCs/>
    </w:rPr>
  </w:style>
  <w:style w:type="character" w:styleId="885">
    <w:name w:val="Emphasis"/>
    <w:uiPriority w:val="20"/>
    <w:qFormat/>
    <w:rPr>
      <w:i/>
      <w:iCs/>
    </w:rPr>
  </w:style>
  <w:style w:type="paragraph" w:styleId="886" w:customStyle="1">
    <w:name w:val="Standard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Segoe UI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kadastr.ru/magazine/news/regionalnyy-roskadastr-izveshchaet-o-nachale-vypolneniya-kompleksnykh-kadastrovykh-rabot-na-territor/" TargetMode="External"/><Relationship Id="rId11" Type="http://schemas.openxmlformats.org/officeDocument/2006/relationships/hyperlink" Target="https://kadastr.ru/magazine/news/regionalnyy-roskadastr-informiruet-o-vypolnenii-kompleksnykh-kadastrovykh-rabot-na-territorii-novosi/" TargetMode="External"/><Relationship Id="rId12" Type="http://schemas.openxmlformats.org/officeDocument/2006/relationships/hyperlink" Target="https://rutube.ru/video/95956878525081c24988f8d5071bd262/" TargetMode="External"/><Relationship Id="rId13" Type="http://schemas.openxmlformats.org/officeDocument/2006/relationships/hyperlink" Target="&#1087;&#1086;&#1088;&#1090;&#1072;&#1083;&#1077;%20" TargetMode="External"/><Relationship Id="rId14" Type="http://schemas.openxmlformats.org/officeDocument/2006/relationships/hyperlink" Target="https://www.mfc-nso.ru/" TargetMode="External"/><Relationship Id="rId15" Type="http://schemas.openxmlformats.org/officeDocument/2006/relationships/hyperlink" Target="mailto:oko@r54.rosreestr.ru" TargetMode="External"/><Relationship Id="rId16" Type="http://schemas.openxmlformats.org/officeDocument/2006/relationships/hyperlink" Target="https://rosreestr.gov.ru/" TargetMode="External"/><Relationship Id="rId17" Type="http://schemas.openxmlformats.org/officeDocument/2006/relationships/hyperlink" Target="https://vk.com/rosreestr_nsk" TargetMode="External"/><Relationship Id="rId18" Type="http://schemas.openxmlformats.org/officeDocument/2006/relationships/hyperlink" Target="https://ok.ru/group/70000000987860" TargetMode="External"/><Relationship Id="rId19" Type="http://schemas.openxmlformats.org/officeDocument/2006/relationships/hyperlink" Target="https://dzen.ru/rosreestr_nsk" TargetMode="External"/><Relationship Id="rId20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325</cp:revision>
  <dcterms:created xsi:type="dcterms:W3CDTF">2009-04-08T02:19:00Z</dcterms:created>
  <dcterms:modified xsi:type="dcterms:W3CDTF">2025-06-20T09:26:33Z</dcterms:modified>
  <cp:version>917504</cp:version>
</cp:coreProperties>
</file>