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4538858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2221853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8"/>
        <w:ind w:firstLine="709"/>
        <w:jc w:val="both"/>
        <w:spacing w:line="276" w:lineRule="auto"/>
        <w:rPr>
          <w:rFonts w:ascii="PT Astra Serif" w:hAnsi="PT Astra Serif" w:cs="PT Astra Serif"/>
          <w:b w:val="0"/>
          <w:bCs w:val="0"/>
          <w:i/>
          <w:color w:val="000000" w:themeColor="text1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РОСРЕЕСТР РАЗЪЯСНЯЕТ</w:t>
      </w:r>
      <w:r>
        <w:rPr>
          <w:b/>
          <w:color w:val="5b9bd5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i/>
          <w:color w:val="000000" w:themeColor="text1"/>
          <w:sz w:val="28"/>
          <w:szCs w:val="28"/>
        </w:rPr>
      </w:r>
    </w:p>
    <w:p>
      <w:pPr>
        <w:pStyle w:val="878"/>
        <w:jc w:val="both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878"/>
        <w:jc w:val="center"/>
        <w:spacing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shd w:val="clear" w:color="auto" w:fill="ffffff"/>
        </w:rPr>
        <w:t xml:space="preserve">На вопросы об  оформлении и использовании земельных участков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ответили специалисты новосибирского Росреестра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Style w:val="878"/>
        <w:jc w:val="center"/>
        <w:spacing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78"/>
        <w:ind w:firstLine="708"/>
        <w:jc w:val="both"/>
        <w:spacing w:line="240" w:lineRule="auto"/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both"/>
        <w:spacing w:line="360" w:lineRule="auto"/>
        <w:rPr>
          <w:rFonts w:ascii="PT Astra Serif" w:hAnsi="PT Astra Serif" w:cs="PT Astra Serif"/>
          <w:color w:val="auto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:shd w:val="clear" w:color="auto" w:fill="ffffff"/>
        </w:rPr>
        <w:t xml:space="preserve">На номера «горячих» линий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:shd w:val="clear" w:color="auto" w:fill="ffffff"/>
        </w:rPr>
        <w:t xml:space="preserve">Управления Росреестра по Новосибирской области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:shd w:val="clear" w:color="auto" w:fill="ffffff"/>
        </w:rPr>
        <w:t xml:space="preserve"> поступило более 10 звонков, специалисты ответили на вопросы жителей новосибирской области.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pStyle w:val="878"/>
        <w:ind w:firstLine="709"/>
        <w:jc w:val="both"/>
        <w:spacing w:line="360" w:lineRule="auto"/>
        <w:rPr>
          <w:rFonts w:ascii="PT Astra Serif" w:hAnsi="PT Astra Serif" w:cs="PT Astra Serif"/>
          <w:color w:val="auto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Публикуем ответы на поступившие в ходе телефонной линии вопросы новосибирцев.</w:t>
      </w:r>
      <w:r>
        <w:rPr>
          <w:rFonts w:ascii="PT Astra Serif" w:hAnsi="PT Astra Serif" w:cs="PT Astra Serif"/>
          <w:color w:val="auto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rFonts w:ascii="PT Astra Serif" w:hAnsi="PT Astra Serif" w:cs="PT Astra Serif"/>
          <w:bCs/>
          <w:i/>
          <w:color w:val="auto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i/>
          <w:iCs/>
          <w:color w:val="auto"/>
          <w:sz w:val="28"/>
          <w:szCs w:val="28"/>
          <w:highlight w:val="none"/>
        </w:rPr>
        <w:t xml:space="preserve">Если будет установлено, что земельный участок заброшен, в какой срок его будут изымать?</w:t>
      </w:r>
      <w:r>
        <w:rPr>
          <w:rFonts w:ascii="PT Astra Serif" w:hAnsi="PT Astra Serif" w:cs="PT Astra Serif"/>
          <w:bCs/>
          <w:i/>
          <w:color w:val="auto"/>
          <w:sz w:val="28"/>
          <w:szCs w:val="28"/>
          <w:highlight w:val="none"/>
        </w:rPr>
      </w:r>
      <w:r>
        <w:rPr>
          <w:rFonts w:ascii="PT Astra Serif" w:hAnsi="PT Astra Serif" w:cs="PT Astra Serif"/>
          <w:bCs/>
          <w:i/>
          <w:color w:val="auto"/>
          <w:sz w:val="28"/>
          <w:szCs w:val="28"/>
          <w:highlight w:val="none"/>
        </w:rPr>
      </w:r>
    </w:p>
    <w:p>
      <w:pPr>
        <w:pStyle w:val="878"/>
        <w:ind w:firstLine="708"/>
        <w:jc w:val="both"/>
        <w:spacing w:line="360" w:lineRule="auto"/>
        <w:rPr>
          <w:rFonts w:ascii="PT Astra Serif" w:hAnsi="PT Astra Serif" w:cs="PT Astra Serif"/>
          <w:color w:val="auto"/>
          <w:sz w:val="28"/>
          <w:szCs w:val="28"/>
        </w:rPr>
      </w:pPr>
      <w:r>
        <w:rPr>
          <w:rFonts w:ascii="PT Astra Serif" w:hAnsi="PT Astra Serif" w:cs="PT Astra Serif"/>
          <w:color w:val="auto"/>
          <w:sz w:val="28"/>
          <w:szCs w:val="28"/>
        </w:rPr>
        <w:t xml:space="preserve">Изъятие неосвоенного земельного участка является крайней мерой. Даже при нарушении установленного трехлетнего срока на освоение землю не изымут автоматически.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pStyle w:val="878"/>
        <w:ind w:firstLine="708"/>
        <w:jc w:val="both"/>
        <w:spacing w:line="360" w:lineRule="auto"/>
        <w:rPr>
          <w:rFonts w:ascii="PT Astra Serif" w:hAnsi="PT Astra Serif" w:cs="PT Astra Serif"/>
          <w:color w:val="auto"/>
          <w:sz w:val="28"/>
          <w:szCs w:val="28"/>
        </w:rPr>
      </w:pPr>
      <w:r>
        <w:rPr>
          <w:rFonts w:ascii="PT Astra Serif" w:hAnsi="PT Astra Serif" w:cs="PT Astra Serif"/>
          <w:color w:val="auto"/>
          <w:sz w:val="28"/>
          <w:szCs w:val="28"/>
        </w:rPr>
        <w:t xml:space="preserve">В случае если при осуществлении государственного земельного контроля (надзора) государственным инспектором Управления Росреестра будет установлено неиспользование земельного участка по окончанию срока его освоения.</w:t>
      </w:r>
      <w:r>
        <w:rPr>
          <w:rFonts w:ascii="PT Astra Serif" w:hAnsi="PT Astra Serif" w:cs="PT Astra Serif"/>
          <w:color w:val="auto"/>
          <w:sz w:val="28"/>
          <w:szCs w:val="28"/>
        </w:rPr>
        <w:t xml:space="preserve">Поступившие</w:t>
      </w:r>
      <w:r>
        <w:rPr>
          <w:rFonts w:ascii="PT Astra Serif" w:hAnsi="PT Astra Serif" w:cs="PT Astra Serif"/>
          <w:color w:val="auto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auto"/>
          <w:sz w:val="28"/>
          <w:szCs w:val="28"/>
        </w:rPr>
        <w:t xml:space="preserve">собственнику будет вынесено предписание об устранении нарушения с указанием определенного срока. При наличии уважительных причин срок для устранения нарушения, установленный предписанием, мо</w:t>
      </w:r>
      <w:r>
        <w:rPr>
          <w:rFonts w:ascii="PT Astra Serif" w:hAnsi="PT Astra Serif" w:cs="PT Astra Serif"/>
          <w:color w:val="auto"/>
          <w:sz w:val="28"/>
          <w:szCs w:val="28"/>
        </w:rPr>
        <w:t xml:space="preserve">жно будет продлить.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pStyle w:val="878"/>
        <w:ind w:firstLine="708"/>
        <w:jc w:val="both"/>
        <w:spacing w:line="360" w:lineRule="auto"/>
        <w:rPr>
          <w:rFonts w:ascii="PT Astra Serif" w:hAnsi="PT Astra Serif" w:cs="PT Astra Serif"/>
          <w:color w:val="auto"/>
          <w:sz w:val="28"/>
          <w:szCs w:val="28"/>
        </w:rPr>
      </w:pPr>
      <w:r>
        <w:rPr>
          <w:rFonts w:ascii="PT Astra Serif" w:hAnsi="PT Astra Serif" w:cs="PT Astra Serif"/>
          <w:color w:val="auto"/>
          <w:sz w:val="28"/>
          <w:szCs w:val="28"/>
        </w:rPr>
        <w:t xml:space="preserve">Ес</w:t>
      </w:r>
      <w:r>
        <w:rPr>
          <w:rFonts w:ascii="PT Astra Serif" w:hAnsi="PT Astra Serif" w:cs="PT Astra Serif"/>
          <w:color w:val="auto"/>
          <w:sz w:val="28"/>
          <w:szCs w:val="28"/>
        </w:rPr>
        <w:t xml:space="preserve">ли же собственник будет игнорировать предписание, не исправит ситуацию в установленный в срок, то Управление </w:t>
      </w:r>
      <w:r>
        <w:rPr>
          <w:rFonts w:ascii="PT Astra Serif" w:hAnsi="PT Astra Serif" w:cs="PT Astra Serif"/>
          <w:color w:val="auto"/>
          <w:sz w:val="28"/>
          <w:szCs w:val="28"/>
        </w:rPr>
        <w:t xml:space="preserve">Росреестра </w:t>
      </w:r>
      <w:r>
        <w:rPr>
          <w:rFonts w:ascii="PT Astra Serif" w:hAnsi="PT Astra Serif" w:cs="PT Astra Serif"/>
          <w:color w:val="auto"/>
          <w:sz w:val="28"/>
          <w:szCs w:val="28"/>
        </w:rPr>
        <w:t xml:space="preserve"> уведомит об этом уполномоченный орган государственной власти или местного самоуправления. Далее эти органы могут обратиться в суд с требованием об </w:t>
      </w:r>
      <w:r>
        <w:rPr>
          <w:rFonts w:ascii="PT Astra Serif" w:hAnsi="PT Astra Serif" w:cs="PT Astra Serif"/>
          <w:color w:val="auto"/>
          <w:sz w:val="28"/>
          <w:szCs w:val="28"/>
        </w:rPr>
        <w:t xml:space="preserve">изъятии земельных участков в связи с их ненадлежащим использованием и об их продаже с публичных торгов.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pStyle w:val="878"/>
        <w:ind w:left="0" w:firstLine="708"/>
        <w:jc w:val="both"/>
        <w:spacing w:line="360" w:lineRule="auto"/>
        <w:rPr>
          <w:rFonts w:ascii="PT Astra Serif" w:hAnsi="PT Astra Serif" w:cs="PT Astra Serif"/>
          <w:color w:val="auto"/>
          <w:sz w:val="28"/>
          <w:szCs w:val="28"/>
        </w:rPr>
      </w:pPr>
      <w:r>
        <w:rPr>
          <w:rFonts w:ascii="PT Astra Serif" w:hAnsi="PT Astra Serif" w:cs="PT Astra Serif"/>
          <w:color w:val="auto"/>
          <w:sz w:val="28"/>
          <w:szCs w:val="28"/>
        </w:rPr>
        <w:t xml:space="preserve">Главной целью при проведении федерального надзора является не изъятие земельного участка, а стимулирование землевладельцев и землепользователей осваивать и </w:t>
      </w:r>
      <w:r>
        <w:rPr>
          <w:rFonts w:ascii="PT Astra Serif" w:hAnsi="PT Astra Serif" w:cs="PT Astra Serif"/>
          <w:color w:val="auto"/>
          <w:sz w:val="28"/>
          <w:szCs w:val="28"/>
        </w:rPr>
        <w:t xml:space="preserve">использовать принадлежащие им земельные участки или продавать их, если они им не нужны.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shd w:val="clear" w:color="auto" w:fill="ffffff"/>
        <w:rPr>
          <w:rFonts w:ascii="PT Astra Serif" w:hAnsi="PT Astra Serif" w:cs="PT Astra Serif"/>
          <w:sz w:val="26"/>
          <w:szCs w:val="26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Необходимо л</w:t>
      </w: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и проводить кадастровые работы по уточнению границ </w:t>
      </w: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земельного участка перед его отчуждением, а так же перед внесением изменений в сведения Единого государственного реестра недвижимости относительно вида разрешенного использования участка?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contextualSpacing w:val="0"/>
        <w:ind w:firstLine="709"/>
        <w:jc w:val="both"/>
        <w:spacing w:line="360" w:lineRule="auto"/>
        <w:shd w:val="clear" w:color="auto" w:fill="ffffff"/>
        <w:rPr>
          <w:rFonts w:ascii="PT Astra Serif" w:hAnsi="PT Astra Serif" w:cs="PT Astra Serif"/>
          <w:color w:val="000000"/>
          <w:sz w:val="26"/>
          <w:szCs w:val="26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Напоминаем, что с марта 2025 года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запрещено совершать сделки с земельными участками, в отношении которых границы не установлены и сведения о них отсутствуют в Едином государственном реестре недвижимости.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Так же обращаем внимание, что изменить вид разрешенного использования земельного участка возможно только после уточнения границ земельного участка.</w:t>
      </w:r>
      <w:r>
        <w:rPr>
          <w:rFonts w:ascii="PT Astra Serif" w:hAnsi="PT Astra Serif" w:cs="PT Astra Serif"/>
          <w:color w:val="000000"/>
          <w:sz w:val="26"/>
          <w:szCs w:val="26"/>
          <w:highlight w:val="white"/>
        </w:rPr>
      </w:r>
      <w:r>
        <w:rPr>
          <w:rFonts w:ascii="PT Astra Serif" w:hAnsi="PT Astra Serif" w:cs="PT Astra Serif"/>
          <w:color w:val="000000"/>
          <w:sz w:val="26"/>
          <w:szCs w:val="26"/>
          <w:highlight w:val="white"/>
        </w:rPr>
      </w:r>
    </w:p>
    <w:p>
      <w:pPr>
        <w:ind w:firstLine="708"/>
        <w:jc w:val="both"/>
        <w:spacing w:line="360" w:lineRule="auto"/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Информацию о границах земельного участка  можно найти на публичной кадастровой карте Росреестра, которая расположена на Единой цифровой платформе «Национальная система пространственных данных» (https://nspd.gov.ru/map) или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в выписке из Единого государственного реестра недвижимости, которую легко получить через портал Госуслуг или в МФЦ. Чтобы узнать, определены ли границы земельного участка необходимо ввести  в поисковом окне на Публичной кадастровой карте кадастровы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й номер земельного участка. Если на карте  графическое отображение границ земельного участка не отображается, то требуется проведение кадастровых работ по уточнению местоположения  границ земельного участка.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Для этого необходимо обратиться к кадастровому инженеру. Кадастровый инженер проведёт необходимые замеры, подготовит межевой план и согласует границы с соседями.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pStyle w:val="878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20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pStyle w:val="87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7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7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78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878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78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78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78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7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7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78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878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887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887"/>
          <w:rFonts w:ascii="Segoe UI" w:hAnsi="Segoe UI" w:cs="Segoe UI"/>
          <w:sz w:val="18"/>
          <w:szCs w:val="20"/>
        </w:rPr>
        <w:t xml:space="preserve">54</w:t>
      </w:r>
      <w:r>
        <w:rPr>
          <w:rStyle w:val="887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887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878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878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887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887"/>
          <w:rFonts w:ascii="Segoe UI" w:hAnsi="Segoe UI" w:cs="Segoe UI"/>
          <w:sz w:val="18"/>
          <w:szCs w:val="18"/>
        </w:rPr>
        <w:fldChar w:fldCharType="end"/>
      </w:r>
      <w:r>
        <w:rPr>
          <w:rStyle w:val="887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887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887"/>
          <w:rFonts w:ascii="Segoe UI" w:hAnsi="Segoe UI" w:cs="Segoe UI"/>
          <w:sz w:val="20"/>
          <w:szCs w:val="20"/>
        </w:rPr>
        <w:t xml:space="preserve">.</w:t>
      </w:r>
      <w:r>
        <w:rPr>
          <w:rStyle w:val="887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887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887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887"/>
          <w:rFonts w:ascii="Segoe UI" w:hAnsi="Segoe UI" w:cs="Segoe UI"/>
          <w:sz w:val="20"/>
        </w:rPr>
        <w:t xml:space="preserve">Телеграм</w:t>
      </w:r>
      <w:r>
        <w:rPr>
          <w:rStyle w:val="887"/>
          <w:rFonts w:ascii="Segoe UI" w:hAnsi="Segoe UI" w:cs="Segoe UI"/>
          <w:sz w:val="20"/>
        </w:rPr>
        <w:fldChar w:fldCharType="end"/>
      </w:r>
      <w:r/>
      <w:r/>
    </w:p>
    <w:p>
      <w:pPr>
        <w:pStyle w:val="878"/>
        <w:jc w:val="both"/>
      </w:pPr>
      <w:r/>
      <w:r/>
      <w:r/>
    </w:p>
    <w:p>
      <w:pPr>
        <w:pStyle w:val="878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Quattrocento Sans">
    <w:panose1 w:val="02000603000000000000"/>
  </w:font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imes New Roman CYR">
    <w:panose1 w:val="02000603000000000000"/>
  </w:font>
  <w:font w:name="Symbol">
    <w:panose1 w:val="05010000000000000000"/>
  </w:font>
  <w:font w:name="Tahoma">
    <w:panose1 w:val="020B0604030504040204"/>
  </w:font>
  <w:font w:name="Verdan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</w:pPr>
    <w:r/>
    <w:r/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5"/>
      </w:rPr>
      <w:framePr w:wrap="around" w:vAnchor="text" w:hAnchor="margin" w:xAlign="center" w:y="1"/>
    </w:pPr>
    <w:r>
      <w:rPr>
        <w:rStyle w:val="885"/>
      </w:rPr>
      <w:fldChar w:fldCharType="begin"/>
    </w:r>
    <w:r>
      <w:rPr>
        <w:rStyle w:val="885"/>
      </w:rPr>
      <w:instrText xml:space="preserve">PAGE  </w:instrText>
    </w:r>
    <w:r>
      <w:rPr>
        <w:rStyle w:val="885"/>
      </w:rPr>
      <w:fldChar w:fldCharType="end"/>
    </w:r>
    <w:r>
      <w:rPr>
        <w:rStyle w:val="885"/>
      </w:rPr>
    </w:r>
    <w:r>
      <w:rPr>
        <w:rStyle w:val="885"/>
      </w:rPr>
    </w:r>
  </w:p>
  <w:p>
    <w:pPr>
      <w:pStyle w:val="8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82"/>
      <w:isLgl w:val="false"/>
      <w:suff w:val="tab"/>
      <w:lvlText w:val=""/>
      <w:lvlJc w:val="left"/>
      <w:pPr>
        <w:ind w:left="709" w:hanging="284"/>
        <w:tabs>
          <w:tab w:val="num" w:pos="709" w:leader="none"/>
        </w:tabs>
      </w:pPr>
      <w:rPr>
        <w:rFonts w:ascii="Symbol" w:hAnsi="Symbol"/>
        <w:color w:val="00000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 CYR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link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next w:val="878"/>
    <w:link w:val="878"/>
    <w:qFormat/>
    <w:rPr>
      <w:lang w:val="ru-RU" w:eastAsia="ru-RU" w:bidi="ar-SA"/>
    </w:rPr>
  </w:style>
  <w:style w:type="character" w:styleId="879">
    <w:name w:val="Основной шрифт абзаца"/>
    <w:next w:val="879"/>
    <w:link w:val="878"/>
    <w:semiHidden/>
    <w:rPr>
      <w:rFonts w:ascii="Verdana" w:hAnsi="Verdana"/>
      <w:lang w:val="en-US" w:eastAsia="en-US" w:bidi="ar-SA"/>
    </w:rPr>
  </w:style>
  <w:style w:type="table" w:styleId="880">
    <w:name w:val="Обычная таблица"/>
    <w:next w:val="880"/>
    <w:link w:val="878"/>
    <w:semiHidden/>
    <w:tblPr/>
  </w:style>
  <w:style w:type="numbering" w:styleId="881">
    <w:name w:val="Нет списка"/>
    <w:next w:val="881"/>
    <w:link w:val="878"/>
    <w:semiHidden/>
  </w:style>
  <w:style w:type="paragraph" w:styleId="882">
    <w:name w:val=" Знак1"/>
    <w:basedOn w:val="878"/>
    <w:next w:val="882"/>
    <w:link w:val="878"/>
    <w:semiHidden/>
    <w:pPr>
      <w:numPr>
        <w:ilvl w:val="0"/>
        <w:numId w:val="1"/>
      </w:numPr>
      <w:jc w:val="both"/>
      <w:spacing w:before="120" w:after="160" w:line="240" w:lineRule="exact"/>
    </w:pPr>
    <w:rPr>
      <w:rFonts w:ascii="Verdana" w:hAnsi="Verdana"/>
      <w:lang w:val="en-US" w:eastAsia="en-US"/>
    </w:rPr>
  </w:style>
  <w:style w:type="paragraph" w:styleId="883">
    <w:name w:val="Текст выноски"/>
    <w:basedOn w:val="878"/>
    <w:next w:val="883"/>
    <w:link w:val="878"/>
    <w:semiHidden/>
    <w:rPr>
      <w:rFonts w:ascii="Tahoma" w:hAnsi="Tahoma" w:cs="Tahoma"/>
      <w:sz w:val="16"/>
      <w:szCs w:val="16"/>
    </w:rPr>
  </w:style>
  <w:style w:type="paragraph" w:styleId="884">
    <w:name w:val="Верхний колонтитул"/>
    <w:basedOn w:val="878"/>
    <w:next w:val="884"/>
    <w:link w:val="891"/>
    <w:uiPriority w:val="99"/>
    <w:pPr>
      <w:tabs>
        <w:tab w:val="center" w:pos="4677" w:leader="none"/>
        <w:tab w:val="right" w:pos="9355" w:leader="none"/>
      </w:tabs>
    </w:pPr>
  </w:style>
  <w:style w:type="character" w:styleId="885">
    <w:name w:val="Номер страницы"/>
    <w:basedOn w:val="879"/>
    <w:next w:val="885"/>
    <w:link w:val="878"/>
  </w:style>
  <w:style w:type="character" w:styleId="886">
    <w:name w:val="apple-style-span"/>
    <w:basedOn w:val="879"/>
    <w:next w:val="886"/>
    <w:link w:val="878"/>
  </w:style>
  <w:style w:type="character" w:styleId="887">
    <w:name w:val="Гиперссылка"/>
    <w:next w:val="887"/>
    <w:link w:val="878"/>
    <w:rPr>
      <w:rFonts w:ascii="Verdana" w:hAnsi="Verdana"/>
      <w:color w:val="0000ff"/>
      <w:u w:val="single"/>
      <w:lang w:val="en-US" w:eastAsia="en-US" w:bidi="ar-SA"/>
    </w:rPr>
  </w:style>
  <w:style w:type="table" w:styleId="888">
    <w:name w:val="Сетка таблицы"/>
    <w:basedOn w:val="880"/>
    <w:next w:val="888"/>
    <w:link w:val="878"/>
    <w:uiPriority w:val="39"/>
    <w:tblPr/>
  </w:style>
  <w:style w:type="paragraph" w:styleId="889">
    <w:name w:val="Нижний колонтитул"/>
    <w:basedOn w:val="878"/>
    <w:next w:val="889"/>
    <w:link w:val="890"/>
    <w:pPr>
      <w:tabs>
        <w:tab w:val="center" w:pos="4677" w:leader="none"/>
        <w:tab w:val="right" w:pos="9355" w:leader="none"/>
      </w:tabs>
    </w:pPr>
  </w:style>
  <w:style w:type="character" w:styleId="890">
    <w:name w:val="Нижний колонтитул Знак"/>
    <w:basedOn w:val="879"/>
    <w:next w:val="890"/>
    <w:link w:val="889"/>
  </w:style>
  <w:style w:type="character" w:styleId="891">
    <w:name w:val="Верхний колонтитул Знак"/>
    <w:next w:val="891"/>
    <w:link w:val="884"/>
    <w:uiPriority w:val="99"/>
  </w:style>
  <w:style w:type="character" w:styleId="892" w:default="1">
    <w:name w:val="Default Paragraph Font"/>
    <w:uiPriority w:val="1"/>
    <w:semiHidden/>
    <w:unhideWhenUsed/>
  </w:style>
  <w:style w:type="numbering" w:styleId="893" w:default="1">
    <w:name w:val="No List"/>
    <w:uiPriority w:val="99"/>
    <w:semiHidden/>
    <w:unhideWhenUsed/>
  </w:style>
  <w:style w:type="table" w:styleId="89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Computer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br</dc:creator>
  <cp:revision>106</cp:revision>
  <dcterms:created xsi:type="dcterms:W3CDTF">2016-08-11T07:50:00Z</dcterms:created>
  <dcterms:modified xsi:type="dcterms:W3CDTF">2025-10-31T07:41:41Z</dcterms:modified>
  <cp:version>1048576</cp:version>
</cp:coreProperties>
</file>