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  ЗАПИСКА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за 1 квартал </w:t>
      </w:r>
      <w:r>
        <w:rPr>
          <w:b/>
          <w:sz w:val="26"/>
          <w:szCs w:val="26"/>
        </w:rPr>
        <w:t xml:space="preserve"> 2025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Параметры бюджета Доволенского района на 2025</w:t>
      </w:r>
      <w:r>
        <w:rPr>
          <w:sz w:val="26"/>
          <w:szCs w:val="26"/>
        </w:rPr>
        <w:t xml:space="preserve"> год были утверждены </w:t>
      </w:r>
      <w:r>
        <w:rPr>
          <w:sz w:val="26"/>
          <w:szCs w:val="26"/>
        </w:rPr>
        <w:t xml:space="preserve">решением Совета депутатов Доволенского района Новосибирской области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338</w:t>
      </w:r>
      <w:r>
        <w:rPr>
          <w:sz w:val="26"/>
          <w:szCs w:val="26"/>
        </w:rPr>
        <w:t xml:space="preserve"> «О бюджете Доволенского район</w:t>
      </w:r>
      <w:r>
        <w:rPr>
          <w:sz w:val="26"/>
          <w:szCs w:val="26"/>
        </w:rPr>
        <w:t xml:space="preserve">а Новосибирской </w:t>
      </w:r>
      <w:r>
        <w:rPr>
          <w:sz w:val="26"/>
          <w:szCs w:val="26"/>
        </w:rPr>
        <w:t xml:space="preserve">области на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и плановый</w:t>
      </w:r>
      <w:r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и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годов» по доходам в размере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1 752 201 788,77</w:t>
      </w:r>
      <w:r>
        <w:rPr>
          <w:sz w:val="26"/>
          <w:szCs w:val="26"/>
        </w:rPr>
        <w:t xml:space="preserve"> руб., по расходам </w:t>
      </w:r>
      <w:r>
        <w:rPr>
          <w:sz w:val="26"/>
          <w:szCs w:val="26"/>
        </w:rPr>
        <w:t xml:space="preserve">1 752 201 788,77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дефицит (</w:t>
      </w:r>
      <w:r>
        <w:rPr>
          <w:sz w:val="26"/>
          <w:szCs w:val="26"/>
        </w:rPr>
        <w:t xml:space="preserve">профицит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0,00 руб. 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1 квартала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были</w:t>
      </w:r>
      <w:r>
        <w:rPr>
          <w:sz w:val="26"/>
          <w:szCs w:val="26"/>
        </w:rPr>
        <w:t xml:space="preserve"> внесены изменения</w:t>
      </w:r>
      <w:r>
        <w:rPr>
          <w:sz w:val="26"/>
          <w:szCs w:val="26"/>
        </w:rPr>
        <w:t xml:space="preserve"> в расходную часть бюджета</w:t>
      </w:r>
      <w:r>
        <w:rPr>
          <w:sz w:val="26"/>
          <w:szCs w:val="26"/>
        </w:rPr>
        <w:t xml:space="preserve"> муниципального район</w:t>
      </w:r>
      <w:r>
        <w:rPr>
          <w:sz w:val="26"/>
          <w:szCs w:val="26"/>
        </w:rPr>
        <w:t xml:space="preserve">а. С учетом вносимых изменений параметры </w:t>
      </w:r>
      <w:r>
        <w:rPr>
          <w:sz w:val="26"/>
          <w:szCs w:val="26"/>
        </w:rPr>
        <w:t xml:space="preserve">бюджета Доволенского района по состоянию на </w:t>
      </w:r>
      <w:r>
        <w:rPr>
          <w:sz w:val="26"/>
          <w:szCs w:val="26"/>
        </w:rPr>
        <w:t xml:space="preserve">01.04.202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утверждены: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в </w:t>
      </w:r>
      <w:r>
        <w:rPr>
          <w:sz w:val="26"/>
          <w:szCs w:val="26"/>
        </w:rPr>
        <w:t xml:space="preserve">объеме </w:t>
      </w:r>
      <w:r>
        <w:rPr>
          <w:sz w:val="26"/>
          <w:szCs w:val="26"/>
        </w:rPr>
        <w:t xml:space="preserve">1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758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364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063,61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расходам в объеме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1 792 286 790,86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превышением </w:t>
      </w:r>
      <w:r>
        <w:rPr>
          <w:sz w:val="26"/>
          <w:szCs w:val="26"/>
        </w:rPr>
        <w:t xml:space="preserve">расходов над</w:t>
      </w:r>
      <w:r>
        <w:rPr>
          <w:sz w:val="26"/>
          <w:szCs w:val="26"/>
        </w:rPr>
        <w:t xml:space="preserve"> доходами на сумму </w:t>
      </w:r>
      <w:r>
        <w:rPr>
          <w:sz w:val="26"/>
          <w:szCs w:val="26"/>
        </w:rPr>
        <w:t xml:space="preserve">33 922 727,25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за </w:t>
      </w:r>
      <w:r>
        <w:rPr>
          <w:sz w:val="26"/>
          <w:szCs w:val="26"/>
        </w:rPr>
        <w:t xml:space="preserve">счет изменения</w:t>
      </w:r>
      <w:r>
        <w:rPr>
          <w:sz w:val="26"/>
          <w:szCs w:val="26"/>
        </w:rPr>
        <w:t xml:space="preserve"> остатков средств на едином счете бюджета района.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Фактическое исполнение бюджета муниципального района характеризуется следующими показателями: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поступлений по всем источникам доходов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311 628 119,50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бюджета – </w:t>
      </w:r>
      <w:r>
        <w:rPr>
          <w:sz w:val="26"/>
          <w:szCs w:val="26"/>
        </w:rPr>
        <w:t xml:space="preserve">302 905 766,49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профицит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– </w:t>
      </w:r>
      <w:r>
        <w:rPr>
          <w:sz w:val="26"/>
          <w:szCs w:val="26"/>
        </w:rPr>
        <w:t xml:space="preserve">8 722 353,01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остатки на едином доходном счете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90 250 134,61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в 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целевых межбюджетных трансфертов из бюджетов других уровней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55 606 456,25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 собственных средств бюджета </w:t>
      </w:r>
      <w:r>
        <w:rPr>
          <w:sz w:val="26"/>
          <w:szCs w:val="26"/>
        </w:rPr>
        <w:t xml:space="preserve">34 643 678,36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годовых назначений по доходам выполнен на </w:t>
      </w:r>
      <w:r>
        <w:rPr>
          <w:sz w:val="26"/>
          <w:szCs w:val="26"/>
        </w:rPr>
        <w:t xml:space="preserve">17,7</w:t>
      </w:r>
      <w:r>
        <w:rPr>
          <w:sz w:val="26"/>
          <w:szCs w:val="26"/>
        </w:rPr>
        <w:t xml:space="preserve">%,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снижением</w:t>
      </w:r>
      <w:r>
        <w:rPr>
          <w:sz w:val="26"/>
          <w:szCs w:val="26"/>
        </w:rPr>
        <w:t xml:space="preserve"> уровню прошлого года на </w:t>
      </w:r>
      <w:r>
        <w:rPr>
          <w:sz w:val="26"/>
          <w:szCs w:val="26"/>
        </w:rPr>
        <w:t xml:space="preserve">12,0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Доходная часть бюджета формировалась в основном за счет поступлений средств из областного бюджета в виде</w:t>
      </w:r>
      <w:r>
        <w:rPr>
          <w:sz w:val="26"/>
          <w:szCs w:val="26"/>
        </w:rPr>
        <w:t xml:space="preserve"> дотаций, субсидий, субвенций и иных межбюджетных трансфертов.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Доходная часть бюджета характеризуется следующими показателями: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918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и с</w:t>
      </w:r>
      <w:r>
        <w:rPr>
          <w:b/>
          <w:sz w:val="26"/>
          <w:szCs w:val="26"/>
        </w:rPr>
        <w:t xml:space="preserve">труктура доходов бюджет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 xml:space="preserve">ого района </w:t>
      </w:r>
      <w:r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квартал </w:t>
      </w: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284"/>
        <w:jc w:val="right"/>
      </w:pPr>
      <w:r>
        <w:rPr>
          <w:lang w:val="en-US"/>
        </w:rPr>
        <w:t xml:space="preserve">(</w:t>
      </w:r>
      <w:r>
        <w:t xml:space="preserve">руб.)</w:t>
      </w:r>
      <w:r/>
    </w:p>
    <w:tbl>
      <w:tblPr>
        <w:tblW w:w="10463" w:type="dxa"/>
        <w:jc w:val="center"/>
        <w:tblInd w:w="-7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73"/>
        <w:gridCol w:w="1559"/>
        <w:gridCol w:w="1559"/>
        <w:gridCol w:w="1559"/>
        <w:gridCol w:w="809"/>
        <w:gridCol w:w="733"/>
        <w:gridCol w:w="712"/>
        <w:gridCol w:w="708"/>
        <w:gridCol w:w="851"/>
      </w:tblGrid>
      <w:tr>
        <w:tblPrEx/>
        <w:trPr>
          <w:trHeight w:val="685"/>
        </w:trPr>
        <w:tc>
          <w:tcPr>
            <w:tcW w:w="1973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на 01.04.202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01.04.202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01.04.202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исполнения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33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к 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227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(%)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85"/>
        </w:trPr>
        <w:tc>
          <w:tcPr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33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57 123 600,00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14 280 900,00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14 389 700,00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673 679 388,10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129 596 112,50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116 742 352,00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752 398 312,05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150 679 396,80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189 917 410,46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60 330 213,46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13 207 462,33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7 506 357,74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безвозмездных поступлений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1 543 531 513,61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307 763 871,63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328 555 820,20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19,9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92,7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Налоговые и 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214 832 550,00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42 105 909,31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33 628 626,53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муниципальных районов для осуществления возврата (зачета)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- 225 961,53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бюджетов МР от возврата прочих остатков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19 372,34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остатков субсидий и субвенций прошлых лет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-38 241 661,44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-7 708 462,21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3"/>
        </w:trPr>
        <w:tc>
          <w:tcPr>
            <w:tcW w:w="1973" w:type="dxa"/>
            <w:vAlign w:val="top"/>
            <w:textDirection w:val="lrTb"/>
            <w:noWrap w:val="false"/>
          </w:tcPr>
          <w:p>
            <w:pPr>
              <w:pStyle w:val="9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доходов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1 758 364 063,61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311 628 119,50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354 269 395,33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88,0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доходов муниципального района доля безвозмездных поступлений из областного бюджета </w:t>
      </w:r>
      <w:r>
        <w:rPr>
          <w:sz w:val="26"/>
          <w:szCs w:val="26"/>
        </w:rPr>
        <w:t xml:space="preserve">составила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%,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соответствующему </w:t>
      </w:r>
      <w:r>
        <w:rPr>
          <w:sz w:val="26"/>
          <w:szCs w:val="26"/>
        </w:rPr>
        <w:t xml:space="preserve">периоду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 xml:space="preserve">6,1</w:t>
      </w:r>
      <w:r>
        <w:rPr>
          <w:sz w:val="26"/>
          <w:szCs w:val="26"/>
        </w:rPr>
        <w:t xml:space="preserve">%.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структуре безвозмездных поступлений </w:t>
      </w:r>
      <w:r>
        <w:rPr>
          <w:sz w:val="26"/>
          <w:szCs w:val="26"/>
        </w:rPr>
        <w:t xml:space="preserve">возросла доля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субвенций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8,6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, иных межбюджетных трансфертов на 2,1%, </w:t>
      </w:r>
      <w:r>
        <w:rPr>
          <w:sz w:val="26"/>
          <w:szCs w:val="26"/>
        </w:rPr>
        <w:t xml:space="preserve">дотаций на 0,5%.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Доля </w:t>
      </w:r>
      <w:r>
        <w:rPr>
          <w:sz w:val="26"/>
          <w:szCs w:val="26"/>
        </w:rPr>
        <w:t xml:space="preserve">субсидий</w:t>
      </w:r>
      <w:r>
        <w:rPr>
          <w:sz w:val="26"/>
          <w:szCs w:val="26"/>
        </w:rPr>
        <w:t xml:space="preserve"> снизилась на </w:t>
      </w:r>
      <w:r>
        <w:rPr>
          <w:sz w:val="26"/>
          <w:szCs w:val="26"/>
        </w:rPr>
        <w:t xml:space="preserve">5,2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общей сумме поступивших межбюджетных трансфертов </w:t>
      </w:r>
      <w:r>
        <w:rPr>
          <w:sz w:val="26"/>
          <w:szCs w:val="26"/>
        </w:rPr>
        <w:t xml:space="preserve">субвенции составляют </w:t>
      </w:r>
      <w:r>
        <w:rPr>
          <w:sz w:val="26"/>
          <w:szCs w:val="26"/>
        </w:rPr>
        <w:t xml:space="preserve">41,6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субсидии – </w:t>
      </w:r>
      <w:r>
        <w:rPr>
          <w:sz w:val="26"/>
          <w:szCs w:val="26"/>
        </w:rPr>
        <w:t xml:space="preserve">48,4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тклонения в структуре доходов к уровню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 по МБТ связаны </w:t>
      </w:r>
      <w:r>
        <w:rPr>
          <w:sz w:val="26"/>
          <w:szCs w:val="26"/>
        </w:rPr>
        <w:t xml:space="preserve">с изменением</w:t>
      </w:r>
      <w:r>
        <w:rPr>
          <w:sz w:val="26"/>
          <w:szCs w:val="26"/>
        </w:rPr>
        <w:t xml:space="preserve"> видов предоставляемых трансфертов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финансирование отдельных видов расходов бюджета.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изменился дополнительный норматив отчислений в бюджет муниципального района от налога на доходы физических лиц – </w:t>
      </w:r>
      <w:r>
        <w:rPr>
          <w:sz w:val="26"/>
          <w:szCs w:val="26"/>
        </w:rPr>
        <w:t xml:space="preserve">39,54</w:t>
      </w:r>
      <w:r>
        <w:rPr>
          <w:sz w:val="26"/>
          <w:szCs w:val="26"/>
        </w:rPr>
        <w:t xml:space="preserve">% в сравнении с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годом норматив </w:t>
      </w:r>
      <w:r>
        <w:rPr>
          <w:sz w:val="26"/>
          <w:szCs w:val="26"/>
        </w:rPr>
        <w:t xml:space="preserve">снизился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3,38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оля налоговых и неналоговых </w:t>
      </w:r>
      <w:r>
        <w:rPr>
          <w:sz w:val="26"/>
          <w:szCs w:val="26"/>
        </w:rPr>
        <w:t xml:space="preserve">доходов </w:t>
      </w:r>
      <w:r>
        <w:rPr>
          <w:sz w:val="26"/>
          <w:szCs w:val="26"/>
        </w:rPr>
        <w:t xml:space="preserve">увеличилась на </w:t>
      </w:r>
      <w:r>
        <w:rPr>
          <w:sz w:val="26"/>
          <w:szCs w:val="26"/>
        </w:rPr>
        <w:t xml:space="preserve">4,0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и составила за отчетный период </w:t>
      </w:r>
      <w:r>
        <w:rPr>
          <w:sz w:val="26"/>
          <w:szCs w:val="26"/>
        </w:rPr>
        <w:t xml:space="preserve">13,5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в общей сумме поступивших доходов и </w:t>
      </w:r>
      <w:r>
        <w:rPr>
          <w:sz w:val="26"/>
          <w:szCs w:val="26"/>
        </w:rPr>
        <w:t xml:space="preserve">23,1</w:t>
      </w:r>
      <w:r>
        <w:rPr>
          <w:sz w:val="26"/>
          <w:szCs w:val="26"/>
        </w:rPr>
        <w:t xml:space="preserve">% в общей сумме поступивших собственных доходов (без субвенций)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Безвозмездных поступлений из областного </w:t>
      </w:r>
      <w:r>
        <w:rPr>
          <w:sz w:val="26"/>
          <w:szCs w:val="26"/>
        </w:rPr>
        <w:t xml:space="preserve">бюджета фактически</w:t>
      </w:r>
      <w:r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 xml:space="preserve">307 763 871,63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План годовых назначений выполнен на </w:t>
      </w:r>
      <w:r>
        <w:rPr>
          <w:sz w:val="26"/>
          <w:szCs w:val="26"/>
        </w:rPr>
        <w:t xml:space="preserve">19,9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  <w:t xml:space="preserve"> Межбюджетные трансферты поступают в соответствии с утвержденной бюджетной росписью.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Дотация</w:t>
      </w:r>
      <w:r>
        <w:rPr>
          <w:sz w:val="26"/>
          <w:szCs w:val="26"/>
        </w:rPr>
        <w:t xml:space="preserve"> в бюджет муниципального района поступила в </w:t>
      </w:r>
      <w:r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14 </w:t>
      </w:r>
      <w:r>
        <w:rPr>
          <w:sz w:val="26"/>
          <w:szCs w:val="26"/>
        </w:rPr>
        <w:t xml:space="preserve">280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что </w:t>
      </w:r>
      <w:r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25,0</w:t>
      </w:r>
      <w:r>
        <w:rPr>
          <w:sz w:val="26"/>
          <w:szCs w:val="26"/>
        </w:rPr>
        <w:t xml:space="preserve">% от годовых назначений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Не значительное с</w:t>
      </w:r>
      <w:r>
        <w:rPr>
          <w:sz w:val="26"/>
          <w:szCs w:val="26"/>
        </w:rPr>
        <w:t xml:space="preserve">нижение </w:t>
      </w:r>
      <w:r>
        <w:rPr>
          <w:sz w:val="26"/>
          <w:szCs w:val="26"/>
        </w:rPr>
        <w:t xml:space="preserve">к соответствующему периоду прошлого года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0,8</w:t>
      </w:r>
      <w:r>
        <w:rPr>
          <w:sz w:val="26"/>
          <w:szCs w:val="26"/>
        </w:rPr>
        <w:t xml:space="preserve">%.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Данное снижение связано с принятым решением Совета депутатов Доволенского района Новосибирской области от </w:t>
      </w:r>
      <w:r>
        <w:rPr>
          <w:sz w:val="26"/>
          <w:szCs w:val="26"/>
        </w:rPr>
        <w:t xml:space="preserve">05</w:t>
      </w:r>
      <w:r>
        <w:rPr>
          <w:sz w:val="26"/>
          <w:szCs w:val="26"/>
        </w:rPr>
        <w:t xml:space="preserve">.0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304</w:t>
      </w:r>
      <w:r>
        <w:rPr>
          <w:sz w:val="26"/>
          <w:szCs w:val="26"/>
        </w:rPr>
        <w:t xml:space="preserve"> «О согласовании замены части дотации дополнительным нормативом отчислений от налога на доходы физических лиц на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 xml:space="preserve">6-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годов» в размере 65%.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Субсидий </w:t>
      </w:r>
      <w:r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 xml:space="preserve">150 679 396,80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что составляет </w:t>
      </w:r>
      <w:r>
        <w:rPr>
          <w:sz w:val="26"/>
          <w:szCs w:val="26"/>
        </w:rPr>
        <w:t xml:space="preserve">20,0</w:t>
      </w:r>
      <w:r>
        <w:rPr>
          <w:sz w:val="26"/>
          <w:szCs w:val="26"/>
        </w:rPr>
        <w:t xml:space="preserve">% от годовых назначений. </w:t>
      </w:r>
      <w:r>
        <w:rPr>
          <w:sz w:val="26"/>
          <w:szCs w:val="26"/>
        </w:rPr>
        <w:t xml:space="preserve">Снижение </w:t>
      </w:r>
      <w:r>
        <w:rPr>
          <w:sz w:val="26"/>
          <w:szCs w:val="26"/>
        </w:rPr>
        <w:t xml:space="preserve">к аналогичному периоду прошлого года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20,7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изменения видов и размеров, предоставляемых субсидий.  </w:t>
      </w:r>
      <w:r>
        <w:rPr>
          <w:sz w:val="26"/>
          <w:szCs w:val="26"/>
        </w:rPr>
        <w:t xml:space="preserve">За отчетный период </w:t>
      </w:r>
      <w:r>
        <w:rPr>
          <w:sz w:val="26"/>
          <w:szCs w:val="26"/>
        </w:rPr>
        <w:t xml:space="preserve">поступила субсидия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>
        <w:rPr>
          <w:sz w:val="26"/>
          <w:szCs w:val="26"/>
        </w:rPr>
        <w:t xml:space="preserve">реализацию мероприятий по </w:t>
      </w:r>
      <w:r>
        <w:rPr>
          <w:sz w:val="26"/>
          <w:szCs w:val="26"/>
        </w:rPr>
        <w:t xml:space="preserve">устойчивому функционированию </w:t>
      </w:r>
      <w:r>
        <w:rPr>
          <w:sz w:val="26"/>
          <w:szCs w:val="26"/>
        </w:rPr>
        <w:t xml:space="preserve">автомобильных дорог местного значения и искусственных сооружений на них ГП НСО «Развитие автомобильных дорог регионального, межмуниципального и местного значения в Новосибирской области»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2 477 025,97</w:t>
      </w:r>
      <w:r>
        <w:rPr>
          <w:sz w:val="26"/>
          <w:szCs w:val="26"/>
        </w:rPr>
        <w:t xml:space="preserve"> руб. (</w:t>
      </w:r>
      <w:r>
        <w:rPr>
          <w:sz w:val="26"/>
          <w:szCs w:val="26"/>
        </w:rPr>
        <w:t xml:space="preserve">9,5</w:t>
      </w:r>
      <w:r>
        <w:rPr>
          <w:sz w:val="26"/>
          <w:szCs w:val="26"/>
        </w:rPr>
        <w:t xml:space="preserve">% годовых назначений);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>
        <w:rPr>
          <w:sz w:val="26"/>
          <w:szCs w:val="26"/>
        </w:rPr>
        <w:t xml:space="preserve">2 858 322,71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33,7</w:t>
      </w:r>
      <w:r>
        <w:rPr>
          <w:sz w:val="26"/>
          <w:szCs w:val="26"/>
        </w:rPr>
        <w:t xml:space="preserve">% годовых назначений)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софинансирование муниципальных программ развития малого и среднего предпринимательства ГП НСО «Развитие субъектов малого и среднего предпринимательства в Новосибирской области» в </w:t>
      </w:r>
      <w:r>
        <w:rPr>
          <w:sz w:val="26"/>
          <w:szCs w:val="26"/>
        </w:rPr>
        <w:t xml:space="preserve">объеме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188 631,67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100,0</w:t>
      </w:r>
      <w:r>
        <w:rPr>
          <w:sz w:val="26"/>
          <w:szCs w:val="26"/>
        </w:rPr>
        <w:t xml:space="preserve">% плановых назначений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развитие социальной инфраструктуры в сфере организации отдыха и оздоровления детей Новосибирской области ГП НСО «Социальная поддержка в Новосибирской области» в </w:t>
      </w:r>
      <w:r>
        <w:rPr>
          <w:sz w:val="26"/>
          <w:szCs w:val="26"/>
        </w:rPr>
        <w:t xml:space="preserve">сумме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5 434 600,00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,0% от плана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полномочий по организации регулярных перевозок пассажиров и багажа по муниципальным маршрутам ГП НСО «Обеспечение доступности услуг общественного транспорта, в том числе Новосибирского метрополитена, для населения Новосибирской области»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2 366 793,17</w:t>
      </w:r>
      <w:r>
        <w:rPr>
          <w:sz w:val="26"/>
          <w:szCs w:val="26"/>
        </w:rPr>
        <w:t xml:space="preserve"> руб. или 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% плановых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софинансирование мероприятий муници</w:t>
      </w:r>
      <w:r>
        <w:rPr>
          <w:sz w:val="26"/>
          <w:szCs w:val="26"/>
        </w:rPr>
        <w:t xml:space="preserve">пальных программ развития территориального общественного самоуправления в Новосибирской области подпрограммы «Содействие развитию местного самоуправления» ГП НСО «Развитие институтов региональной политики и гражданского общества в Новосибирской области» в </w:t>
      </w:r>
      <w:r>
        <w:rPr>
          <w:sz w:val="26"/>
          <w:szCs w:val="26"/>
        </w:rPr>
        <w:t xml:space="preserve">полном объеме </w:t>
      </w:r>
      <w:r>
        <w:rPr>
          <w:sz w:val="26"/>
          <w:szCs w:val="26"/>
        </w:rPr>
        <w:t xml:space="preserve">1 290 100,00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-на реализацию мероприятий по оздоровлению детей ГП НСО «Социальная поддержка в Новосибирской области» в сумме </w:t>
      </w:r>
      <w:r>
        <w:rPr>
          <w:sz w:val="26"/>
          <w:szCs w:val="26"/>
        </w:rPr>
        <w:t xml:space="preserve">5 434 600,00</w:t>
      </w:r>
      <w:r>
        <w:rPr>
          <w:sz w:val="26"/>
          <w:szCs w:val="26"/>
        </w:rPr>
        <w:t xml:space="preserve"> руб. или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,0% от плана;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</w:t>
      </w:r>
      <w:r>
        <w:rPr>
          <w:sz w:val="26"/>
          <w:szCs w:val="26"/>
        </w:rPr>
        <w:t xml:space="preserve">мероприятий по обеспечению сбалансированности местных бюджетов </w:t>
      </w:r>
      <w:r>
        <w:rPr>
          <w:sz w:val="26"/>
          <w:szCs w:val="26"/>
        </w:rPr>
        <w:t xml:space="preserve">ГП НСО «Управление государственными фи</w:t>
      </w:r>
      <w:r>
        <w:rPr>
          <w:sz w:val="26"/>
          <w:szCs w:val="26"/>
        </w:rPr>
        <w:t xml:space="preserve">нансами в Новосибирской области</w:t>
      </w:r>
      <w:r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 xml:space="preserve">121 681 766,67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22,6</w:t>
      </w:r>
      <w:r>
        <w:rPr>
          <w:sz w:val="26"/>
          <w:szCs w:val="26"/>
        </w:rPr>
        <w:t xml:space="preserve">% годовых назначений)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мероприятий по </w:t>
      </w:r>
      <w:r>
        <w:rPr>
          <w:sz w:val="26"/>
          <w:szCs w:val="26"/>
        </w:rPr>
        <w:t xml:space="preserve">организации функционирования систем жизнеобеспечения подпрограммы «Безопасность ЖКХ» ГП НСО «ЖКХ НСО» в сумме </w:t>
      </w:r>
      <w:r>
        <w:rPr>
          <w:sz w:val="26"/>
          <w:szCs w:val="26"/>
        </w:rPr>
        <w:t xml:space="preserve">13 232 919,30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24,8</w:t>
      </w:r>
      <w:r>
        <w:rPr>
          <w:sz w:val="26"/>
          <w:szCs w:val="26"/>
        </w:rPr>
        <w:t xml:space="preserve">% плановых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мероприятий по обеспечению снабжения населения топливом подпрограммы «Безопасность жилищно-коммунального хозяйства» ГП НСО «Жилищно-коммунальное хозяйство Новосибирской области» в сумме </w:t>
      </w:r>
      <w:r>
        <w:rPr>
          <w:sz w:val="26"/>
          <w:szCs w:val="26"/>
        </w:rPr>
        <w:t xml:space="preserve">1 149 237,31</w:t>
      </w:r>
      <w:r>
        <w:rPr>
          <w:sz w:val="26"/>
          <w:szCs w:val="26"/>
        </w:rPr>
        <w:t xml:space="preserve"> руб. или </w:t>
      </w:r>
      <w:r>
        <w:rPr>
          <w:sz w:val="26"/>
          <w:szCs w:val="26"/>
        </w:rPr>
        <w:t xml:space="preserve">15,6</w:t>
      </w:r>
      <w:r>
        <w:rPr>
          <w:sz w:val="26"/>
          <w:szCs w:val="26"/>
        </w:rPr>
        <w:t xml:space="preserve">% плановых назначений.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Субвенций </w:t>
      </w:r>
      <w:r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 xml:space="preserve">129 596 112,50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что составляет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19,2</w:t>
      </w:r>
      <w:r>
        <w:rPr>
          <w:sz w:val="26"/>
          <w:szCs w:val="26"/>
        </w:rPr>
        <w:t xml:space="preserve">% от годовых назначений. </w:t>
      </w:r>
      <w:r>
        <w:rPr>
          <w:sz w:val="26"/>
          <w:szCs w:val="26"/>
        </w:rPr>
        <w:t xml:space="preserve">Увеличение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уровню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прошлого года на </w:t>
      </w:r>
      <w:r>
        <w:rPr>
          <w:sz w:val="26"/>
          <w:szCs w:val="26"/>
        </w:rPr>
        <w:t xml:space="preserve">11,0</w:t>
      </w:r>
      <w:r>
        <w:rPr>
          <w:sz w:val="26"/>
          <w:szCs w:val="26"/>
        </w:rPr>
        <w:t xml:space="preserve">%. Субвенций на выполнение передаваемых полномочий субъектов РФ поступило </w:t>
      </w:r>
      <w:r>
        <w:rPr>
          <w:sz w:val="26"/>
          <w:szCs w:val="26"/>
        </w:rPr>
        <w:t xml:space="preserve">128 765 012,50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Доля данного вида субвенций в общей сумме поступивших субвенций составляет </w:t>
      </w:r>
      <w:r>
        <w:rPr>
          <w:sz w:val="26"/>
          <w:szCs w:val="26"/>
        </w:rPr>
        <w:t xml:space="preserve">99,4</w:t>
      </w:r>
      <w:r>
        <w:rPr>
          <w:sz w:val="26"/>
          <w:szCs w:val="26"/>
        </w:rPr>
        <w:t xml:space="preserve">%. Данные субвенции поступали на финансирование расходов </w:t>
      </w:r>
      <w:r>
        <w:rPr>
          <w:sz w:val="26"/>
          <w:szCs w:val="26"/>
        </w:rPr>
        <w:t xml:space="preserve">по переданным</w:t>
      </w:r>
      <w:r>
        <w:rPr>
          <w:sz w:val="26"/>
          <w:szCs w:val="26"/>
        </w:rPr>
        <w:t xml:space="preserve"> полномочиям</w:t>
      </w:r>
      <w:r>
        <w:rPr>
          <w:sz w:val="26"/>
          <w:szCs w:val="26"/>
        </w:rPr>
        <w:t xml:space="preserve"> субъектов РФ</w:t>
      </w:r>
      <w:r>
        <w:rPr>
          <w:sz w:val="26"/>
          <w:szCs w:val="26"/>
        </w:rPr>
        <w:t xml:space="preserve">, в том числе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реализацию основных общеобразовательных программ </w:t>
      </w:r>
      <w:r>
        <w:rPr>
          <w:sz w:val="26"/>
          <w:szCs w:val="26"/>
        </w:rPr>
        <w:t xml:space="preserve">85 500 000,00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18,2</w:t>
      </w:r>
      <w:r>
        <w:rPr>
          <w:sz w:val="26"/>
          <w:szCs w:val="26"/>
        </w:rPr>
        <w:t xml:space="preserve">% плановых назначений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организацию</w:t>
      </w:r>
      <w:r>
        <w:rPr>
          <w:sz w:val="26"/>
          <w:szCs w:val="26"/>
        </w:rPr>
        <w:t xml:space="preserve"> мероприятий при осуществлении деятельности по обращению с животными без владельцев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398 775,00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(25% от плана)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осуществление отдельных государственных полномочий Новосибирской области по обеспечению </w:t>
      </w:r>
      <w:r>
        <w:rPr>
          <w:sz w:val="26"/>
          <w:szCs w:val="26"/>
        </w:rPr>
        <w:t xml:space="preserve">социального обслуживания отдельных категорий граждан </w:t>
      </w:r>
      <w:r>
        <w:rPr>
          <w:sz w:val="26"/>
          <w:szCs w:val="26"/>
        </w:rPr>
        <w:t xml:space="preserve">17 166 100,00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23,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плановых назначений)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осуществление государственных полномочий по расчету </w:t>
      </w:r>
      <w:r>
        <w:rPr>
          <w:sz w:val="26"/>
          <w:szCs w:val="26"/>
        </w:rPr>
        <w:t xml:space="preserve">и предоставлению</w:t>
      </w:r>
      <w:r>
        <w:rPr>
          <w:sz w:val="26"/>
          <w:szCs w:val="26"/>
        </w:rPr>
        <w:t xml:space="preserve"> дотаций поселениям </w:t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 441 700,00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25,0</w:t>
      </w:r>
      <w:r>
        <w:rPr>
          <w:sz w:val="26"/>
          <w:szCs w:val="26"/>
        </w:rPr>
        <w:t xml:space="preserve">% от плана)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организацию и осуществление деятельности по опеке и попечительству</w:t>
      </w:r>
      <w:r>
        <w:rPr>
          <w:sz w:val="26"/>
          <w:szCs w:val="26"/>
        </w:rPr>
        <w:t xml:space="preserve">, социальной поддержке детей-сирот и детей, оставшихся без попечения родителей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6 </w:t>
      </w:r>
      <w:r>
        <w:rPr>
          <w:sz w:val="26"/>
          <w:szCs w:val="26"/>
        </w:rPr>
        <w:t xml:space="preserve">188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,0</w:t>
      </w:r>
      <w:r>
        <w:rPr>
          <w:sz w:val="26"/>
          <w:szCs w:val="26"/>
        </w:rPr>
        <w:t xml:space="preserve">% от плана)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образование и организацию деятельности комиссий по делам несовершеннолетних и защите их прав </w:t>
      </w:r>
      <w:r>
        <w:rPr>
          <w:sz w:val="26"/>
          <w:szCs w:val="26"/>
        </w:rPr>
        <w:t xml:space="preserve">308 800,00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% плановых назначений)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отдельных государственных полномочий </w:t>
      </w:r>
      <w:r>
        <w:rPr>
          <w:sz w:val="26"/>
          <w:szCs w:val="26"/>
        </w:rPr>
        <w:t xml:space="preserve">НСО по решению вопросов в сфере административных правонарушений </w:t>
      </w:r>
      <w:r>
        <w:rPr>
          <w:sz w:val="26"/>
          <w:szCs w:val="26"/>
        </w:rPr>
        <w:t xml:space="preserve">10 087,50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,0</w:t>
      </w:r>
      <w:r>
        <w:rPr>
          <w:sz w:val="26"/>
          <w:szCs w:val="26"/>
        </w:rPr>
        <w:t xml:space="preserve">% плановых назначений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</w:t>
      </w:r>
      <w:r>
        <w:rPr>
          <w:sz w:val="26"/>
          <w:szCs w:val="26"/>
        </w:rPr>
        <w:t xml:space="preserve">отдельных государственных полномочий НСО по сбору информации от поселений, входящих в муниципальные районы, необходимой для ведения регистра муниципальных нормативных правовых актов НСО в сумме </w:t>
      </w:r>
      <w:r>
        <w:rPr>
          <w:sz w:val="26"/>
          <w:szCs w:val="26"/>
        </w:rPr>
        <w:t xml:space="preserve">143 350,00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,0</w:t>
      </w:r>
      <w:r>
        <w:rPr>
          <w:sz w:val="26"/>
          <w:szCs w:val="26"/>
        </w:rPr>
        <w:t xml:space="preserve">% плановых назначений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в сумме </w:t>
      </w:r>
      <w:r>
        <w:rPr>
          <w:sz w:val="26"/>
          <w:szCs w:val="26"/>
        </w:rPr>
        <w:t xml:space="preserve">107 400,00</w:t>
      </w:r>
      <w:r>
        <w:rPr>
          <w:sz w:val="26"/>
          <w:szCs w:val="26"/>
        </w:rPr>
        <w:t xml:space="preserve"> руб. (2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% плановых назначений);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социальную поддержку отдельных категорий детей, обучающихся в образовательных организациях </w:t>
      </w:r>
      <w:r>
        <w:rPr>
          <w:sz w:val="26"/>
          <w:szCs w:val="26"/>
        </w:rPr>
        <w:t xml:space="preserve">4 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00 000,00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16,9</w:t>
      </w:r>
      <w:r>
        <w:rPr>
          <w:sz w:val="26"/>
          <w:szCs w:val="26"/>
        </w:rPr>
        <w:t xml:space="preserve">% плановых назначений.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</w:t>
      </w:r>
      <w:r>
        <w:rPr>
          <w:sz w:val="26"/>
          <w:szCs w:val="26"/>
        </w:rPr>
        <w:t xml:space="preserve"> поступили </w:t>
      </w:r>
      <w:r>
        <w:rPr>
          <w:sz w:val="26"/>
          <w:szCs w:val="26"/>
        </w:rPr>
        <w:t xml:space="preserve">субвенции на осуществление первичного воинского учета</w:t>
      </w:r>
      <w:r>
        <w:rPr>
          <w:sz w:val="26"/>
          <w:szCs w:val="26"/>
        </w:rPr>
        <w:t xml:space="preserve"> на территориях, где отсутствуют военные комиссариаты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719 800,00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или 25% плановых назначений</w:t>
      </w:r>
      <w:r>
        <w:rPr>
          <w:sz w:val="26"/>
          <w:szCs w:val="26"/>
        </w:rPr>
        <w:t xml:space="preserve"> и субвенции на предоставление жилых помещений детям-сиротам, оставшимся без попечения родителей, лицам из их числа по договорам найма </w:t>
      </w:r>
      <w:r>
        <w:rPr>
          <w:sz w:val="26"/>
          <w:szCs w:val="26"/>
        </w:rPr>
        <w:t xml:space="preserve">специализированных жилых помещений в сумме </w:t>
      </w:r>
      <w:r>
        <w:rPr>
          <w:sz w:val="26"/>
          <w:szCs w:val="26"/>
        </w:rPr>
        <w:t xml:space="preserve">111 300,00</w:t>
      </w:r>
      <w:r>
        <w:rPr>
          <w:sz w:val="26"/>
          <w:szCs w:val="26"/>
        </w:rPr>
        <w:t xml:space="preserve"> руб. или 0,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% от плана.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Ины</w:t>
      </w:r>
      <w:r>
        <w:rPr>
          <w:b/>
          <w:sz w:val="26"/>
          <w:szCs w:val="26"/>
        </w:rPr>
        <w:t xml:space="preserve">х</w:t>
      </w:r>
      <w:r>
        <w:rPr>
          <w:b/>
          <w:sz w:val="26"/>
          <w:szCs w:val="26"/>
        </w:rPr>
        <w:t xml:space="preserve"> межбюджетны</w:t>
      </w:r>
      <w:r>
        <w:rPr>
          <w:b/>
          <w:sz w:val="26"/>
          <w:szCs w:val="26"/>
        </w:rPr>
        <w:t xml:space="preserve">х</w:t>
      </w:r>
      <w:r>
        <w:rPr>
          <w:b/>
          <w:sz w:val="26"/>
          <w:szCs w:val="26"/>
        </w:rPr>
        <w:t xml:space="preserve"> трансферт</w:t>
      </w:r>
      <w:r>
        <w:rPr>
          <w:b/>
          <w:sz w:val="26"/>
          <w:szCs w:val="26"/>
        </w:rPr>
        <w:t xml:space="preserve">ов</w:t>
      </w:r>
      <w:r>
        <w:rPr>
          <w:sz w:val="26"/>
          <w:szCs w:val="26"/>
        </w:rPr>
        <w:t xml:space="preserve"> поступ</w:t>
      </w:r>
      <w:r>
        <w:rPr>
          <w:sz w:val="26"/>
          <w:szCs w:val="26"/>
        </w:rPr>
        <w:t xml:space="preserve">ило </w:t>
      </w:r>
      <w:r>
        <w:rPr>
          <w:sz w:val="26"/>
          <w:szCs w:val="26"/>
        </w:rPr>
        <w:t xml:space="preserve">13 207 462,33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 что составляет </w:t>
      </w:r>
      <w:r>
        <w:rPr>
          <w:sz w:val="26"/>
          <w:szCs w:val="26"/>
        </w:rPr>
        <w:t xml:space="preserve">21,9</w:t>
      </w:r>
      <w:r>
        <w:rPr>
          <w:sz w:val="26"/>
          <w:szCs w:val="26"/>
        </w:rPr>
        <w:t xml:space="preserve">% от годовых назначений.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Поступили средства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из бюджета поселений</w:t>
      </w:r>
      <w:r>
        <w:rPr>
          <w:sz w:val="26"/>
          <w:szCs w:val="26"/>
        </w:rPr>
        <w:t xml:space="preserve"> в соответствии с заключенными соглашениями на осуществление полномочий на содерж</w:t>
      </w:r>
      <w:r>
        <w:rPr>
          <w:sz w:val="26"/>
          <w:szCs w:val="26"/>
        </w:rPr>
        <w:t xml:space="preserve">ание контрольно-счетных органов, что составляет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95</w:t>
      </w:r>
      <w:r>
        <w:rPr>
          <w:sz w:val="26"/>
          <w:szCs w:val="26"/>
        </w:rPr>
        <w:t xml:space="preserve"> 000,00 руб. или </w:t>
      </w:r>
      <w:r>
        <w:rPr>
          <w:sz w:val="26"/>
          <w:szCs w:val="26"/>
        </w:rPr>
        <w:t xml:space="preserve">22,0</w:t>
      </w:r>
      <w:r>
        <w:rPr>
          <w:sz w:val="26"/>
          <w:szCs w:val="26"/>
        </w:rPr>
        <w:t xml:space="preserve">% годовых назначений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ежемесяч</w:t>
      </w:r>
      <w:r>
        <w:rPr>
          <w:sz w:val="26"/>
          <w:szCs w:val="26"/>
        </w:rPr>
        <w:t xml:space="preserve">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 в сумме 228 948,00 руб. или 13,0% плановых назначениях;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</w:t>
      </w:r>
      <w:r>
        <w:rPr>
          <w:sz w:val="26"/>
          <w:szCs w:val="26"/>
        </w:rPr>
        <w:t xml:space="preserve">877 197,52</w:t>
      </w:r>
      <w:r>
        <w:rPr>
          <w:sz w:val="26"/>
          <w:szCs w:val="26"/>
        </w:rPr>
        <w:t xml:space="preserve"> руб. или 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% плановых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сумме </w:t>
      </w:r>
      <w:r>
        <w:rPr>
          <w:sz w:val="26"/>
          <w:szCs w:val="26"/>
        </w:rPr>
        <w:t xml:space="preserve">7 668 443,01</w:t>
      </w:r>
      <w:r>
        <w:rPr>
          <w:sz w:val="26"/>
          <w:szCs w:val="26"/>
        </w:rPr>
        <w:t xml:space="preserve"> руб. или 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,0</w:t>
      </w:r>
      <w:r>
        <w:rPr>
          <w:sz w:val="26"/>
          <w:szCs w:val="26"/>
        </w:rPr>
        <w:t xml:space="preserve">% годовых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мероприятий по созданию системы дол</w:t>
      </w:r>
      <w:r>
        <w:rPr>
          <w:sz w:val="26"/>
          <w:szCs w:val="26"/>
        </w:rPr>
        <w:t xml:space="preserve">говременного ухода за гражданами пожилого возраста и инвалидами ГП НСО «Развитие системы социальной поддержки населения и улучшение социального положения семей с детьми в НСО» в сумме </w:t>
      </w:r>
      <w:r>
        <w:rPr>
          <w:sz w:val="26"/>
          <w:szCs w:val="26"/>
        </w:rPr>
        <w:t xml:space="preserve">1 286 552,34</w:t>
      </w:r>
      <w:r>
        <w:rPr>
          <w:sz w:val="26"/>
          <w:szCs w:val="26"/>
        </w:rPr>
        <w:t xml:space="preserve"> руб. или </w:t>
      </w:r>
      <w:r>
        <w:rPr>
          <w:sz w:val="26"/>
          <w:szCs w:val="26"/>
        </w:rPr>
        <w:t xml:space="preserve">25,0</w:t>
      </w:r>
      <w:r>
        <w:rPr>
          <w:sz w:val="26"/>
          <w:szCs w:val="26"/>
        </w:rPr>
        <w:t xml:space="preserve">% плановых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>
        <w:rPr>
          <w:sz w:val="26"/>
          <w:szCs w:val="26"/>
        </w:rPr>
        <w:t xml:space="preserve">оплату расходов, связанных со строительством специализированного жилищного фонда для предоставления отдельным категориям граждан, НП НСО «Стимулирование развития жилищного строительства в Новосибирской области»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2 604 721,46</w:t>
      </w:r>
      <w:r>
        <w:rPr>
          <w:sz w:val="26"/>
          <w:szCs w:val="26"/>
        </w:rPr>
        <w:t xml:space="preserve"> руб. или </w:t>
      </w:r>
      <w:r>
        <w:rPr>
          <w:sz w:val="26"/>
          <w:szCs w:val="26"/>
        </w:rPr>
        <w:t xml:space="preserve">21,3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плановых </w:t>
      </w:r>
      <w:r>
        <w:rPr>
          <w:sz w:val="26"/>
          <w:szCs w:val="26"/>
        </w:rPr>
        <w:t xml:space="preserve">назначений;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обеспечение проезда детей и совершеннолетних граждан – сопровождающих организованные группы детей к месту отдыха и обратно при условии нахождения места отдыха в пределах НСО в сумме </w:t>
      </w:r>
      <w:r>
        <w:rPr>
          <w:sz w:val="26"/>
          <w:szCs w:val="26"/>
        </w:rPr>
        <w:t xml:space="preserve">7 600</w:t>
      </w:r>
      <w:r>
        <w:rPr>
          <w:sz w:val="26"/>
          <w:szCs w:val="26"/>
        </w:rPr>
        <w:t xml:space="preserve">,00 руб. или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,0% плановых назначений;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мероприятий по обеспечению</w:t>
      </w:r>
      <w:r>
        <w:rPr>
          <w:sz w:val="26"/>
          <w:szCs w:val="26"/>
        </w:rPr>
        <w:t xml:space="preserve"> жильем молодых семей ГП НСО «Обеспечение жильем молодых семей в Новосибирской области» </w:t>
      </w:r>
      <w:r>
        <w:rPr>
          <w:sz w:val="26"/>
          <w:szCs w:val="26"/>
        </w:rPr>
        <w:t xml:space="preserve">в полном объеме </w:t>
      </w:r>
      <w:r>
        <w:rPr>
          <w:sz w:val="26"/>
          <w:szCs w:val="26"/>
        </w:rPr>
        <w:t xml:space="preserve">339 0</w:t>
      </w:r>
      <w:r>
        <w:rPr>
          <w:sz w:val="26"/>
          <w:szCs w:val="26"/>
        </w:rPr>
        <w:t xml:space="preserve">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возвращены в областной бюджет неиспользованные остатки в сумме </w:t>
      </w:r>
      <w:r>
        <w:rPr>
          <w:sz w:val="26"/>
          <w:szCs w:val="26"/>
        </w:rPr>
        <w:t xml:space="preserve">38 241 661,44</w:t>
      </w:r>
      <w:r>
        <w:rPr>
          <w:sz w:val="26"/>
          <w:szCs w:val="26"/>
        </w:rPr>
        <w:t xml:space="preserve"> руб. в том числе: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субвенции на реализацию основных общеобразовательных программ дошкольного образования в сумме </w:t>
      </w:r>
      <w:r>
        <w:rPr>
          <w:sz w:val="26"/>
          <w:szCs w:val="26"/>
        </w:rPr>
        <w:t xml:space="preserve">15 359 668,04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субсидии на осу</w:t>
      </w:r>
      <w:r>
        <w:rPr>
          <w:sz w:val="26"/>
          <w:szCs w:val="26"/>
        </w:rPr>
        <w:t xml:space="preserve">ществление полномочий по организации регулярных перевозок пассажиров и багажа по муниципальным маршрутам ГП НСО «Обеспечение доступности услуг общественного транспорта, в том числе Новосибирского метрополитена, для населения Новосибирской области» в сумме </w:t>
      </w:r>
      <w:r>
        <w:rPr>
          <w:sz w:val="26"/>
          <w:szCs w:val="26"/>
        </w:rPr>
        <w:t xml:space="preserve">404 841,63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субвенции на социальную поддержку отдельных категорий детей, обучающихся в образовательных организациях в сумме </w:t>
      </w:r>
      <w:r>
        <w:rPr>
          <w:sz w:val="26"/>
          <w:szCs w:val="26"/>
        </w:rPr>
        <w:t xml:space="preserve">401 715,60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– </w:t>
      </w:r>
      <w:r>
        <w:rPr>
          <w:sz w:val="26"/>
          <w:szCs w:val="26"/>
        </w:rPr>
        <w:t xml:space="preserve">76 275,32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 – </w:t>
      </w:r>
      <w:r>
        <w:rPr>
          <w:sz w:val="26"/>
          <w:szCs w:val="26"/>
        </w:rPr>
        <w:t xml:space="preserve">299 630,46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субвенция на организацию мероприятий при осуществлении деятельности по обращению с животными без владельцев – </w:t>
      </w:r>
      <w:r>
        <w:rPr>
          <w:sz w:val="26"/>
          <w:szCs w:val="26"/>
        </w:rPr>
        <w:t xml:space="preserve">85 784,00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субвенции на </w:t>
      </w:r>
      <w:r>
        <w:rPr>
          <w:sz w:val="26"/>
          <w:szCs w:val="26"/>
        </w:rPr>
        <w:t xml:space="preserve">реализацию основных общеобразовательных программ в </w:t>
      </w:r>
      <w:r>
        <w:rPr>
          <w:sz w:val="26"/>
          <w:szCs w:val="26"/>
        </w:rPr>
        <w:t xml:space="preserve">муниципальных общеобразовательных организациях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21 946 136,01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субсидии на софинансирвоание муниципальных программ развития малого и среднего предпринимательства ГП НСО «Развитие субъектов малого и среднего предпринимательства в Новосибирской области»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22 657,12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субсидии на реализацию мероприятий по </w:t>
      </w:r>
      <w:r>
        <w:rPr>
          <w:sz w:val="26"/>
          <w:szCs w:val="26"/>
        </w:rPr>
        <w:t xml:space="preserve">обеспечению сбалансированности местных бюджетов ГП НСО «Управление финансами в Новосибирской области»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0,72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3 218,88</w:t>
      </w:r>
      <w:r>
        <w:rPr>
          <w:sz w:val="26"/>
          <w:szCs w:val="26"/>
        </w:rPr>
        <w:t xml:space="preserve"> руб.;</w:t>
      </w:r>
      <w:r/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МБТ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– </w:t>
      </w:r>
      <w:r>
        <w:rPr>
          <w:sz w:val="26"/>
          <w:szCs w:val="26"/>
        </w:rPr>
        <w:t xml:space="preserve">9 522,00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color w:val="ff0000"/>
          <w:sz w:val="28"/>
          <w:szCs w:val="28"/>
        </w:rPr>
      </w:pPr>
      <w:r>
        <w:rPr>
          <w:sz w:val="26"/>
          <w:szCs w:val="26"/>
        </w:rPr>
        <w:t xml:space="preserve">В бюджет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1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артал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поступило</w:t>
      </w:r>
      <w:r>
        <w:rPr>
          <w:sz w:val="26"/>
          <w:szCs w:val="26"/>
        </w:rPr>
        <w:t xml:space="preserve"> налоговых и неналоговых </w:t>
      </w:r>
      <w:r>
        <w:rPr>
          <w:sz w:val="26"/>
          <w:szCs w:val="26"/>
        </w:rPr>
        <w:t xml:space="preserve">доходов </w:t>
      </w:r>
      <w:r>
        <w:rPr>
          <w:sz w:val="26"/>
          <w:szCs w:val="26"/>
        </w:rPr>
        <w:t xml:space="preserve">42 105 909,31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в том числе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налоговых доходов </w:t>
      </w:r>
      <w:r>
        <w:rPr>
          <w:sz w:val="26"/>
          <w:szCs w:val="26"/>
        </w:rPr>
        <w:t xml:space="preserve">37 279 796,82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руб.; </w:t>
      </w:r>
      <w:r>
        <w:rPr>
          <w:sz w:val="26"/>
          <w:szCs w:val="26"/>
        </w:rPr>
        <w:t xml:space="preserve">неналоговых доходов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4 826 112,49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назначения выполнены по налоговым и неналоговым доходам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19,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  <w:t xml:space="preserve">Увеличение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уровню прошлого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18"/>
        <w:ind w:firstLine="709"/>
        <w:jc w:val="center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918"/>
        <w:ind w:firstLine="709"/>
        <w:jc w:val="center"/>
        <w:rPr>
          <w:b/>
        </w:rPr>
      </w:pPr>
      <w:r>
        <w:rPr>
          <w:b/>
        </w:rPr>
        <w:t xml:space="preserve">Поступление собственных</w:t>
      </w:r>
      <w:r>
        <w:rPr>
          <w:b/>
        </w:rPr>
        <w:t xml:space="preserve"> доходов бюджет</w:t>
      </w:r>
      <w:r>
        <w:rPr>
          <w:b/>
        </w:rPr>
        <w:t xml:space="preserve">а</w:t>
      </w:r>
      <w:r>
        <w:rPr>
          <w:b/>
        </w:rPr>
        <w:t xml:space="preserve"> муниципальн</w:t>
      </w:r>
      <w:r>
        <w:rPr>
          <w:b/>
        </w:rPr>
        <w:t xml:space="preserve">ого района</w:t>
      </w:r>
      <w:r>
        <w:rPr>
          <w:b/>
        </w:rPr>
      </w:r>
      <w:r>
        <w:rPr>
          <w:b/>
        </w:rPr>
      </w:r>
    </w:p>
    <w:p>
      <w:pPr>
        <w:pStyle w:val="918"/>
        <w:ind w:firstLine="709"/>
        <w:jc w:val="center"/>
        <w:rPr>
          <w:b/>
        </w:rPr>
      </w:pPr>
      <w:r>
        <w:rPr>
          <w:b/>
        </w:rPr>
        <w:t xml:space="preserve"> за </w:t>
      </w:r>
      <w:r>
        <w:rPr>
          <w:b/>
        </w:rPr>
        <w:t xml:space="preserve">1 </w:t>
      </w:r>
      <w:r>
        <w:rPr>
          <w:b/>
        </w:rPr>
        <w:t xml:space="preserve">квартал 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г</w:t>
      </w:r>
      <w:r>
        <w:rPr>
          <w:b/>
        </w:rPr>
        <w:t xml:space="preserve">од</w:t>
      </w:r>
      <w:r>
        <w:rPr>
          <w:b/>
        </w:rPr>
        <w:t xml:space="preserve">а</w:t>
      </w:r>
      <w:r>
        <w:rPr>
          <w:b/>
        </w:rPr>
      </w:r>
      <w:r>
        <w:rPr>
          <w:b/>
        </w:rPr>
      </w:r>
    </w:p>
    <w:p>
      <w:pPr>
        <w:pStyle w:val="918"/>
        <w:ind w:firstLine="709"/>
        <w:jc w:val="center"/>
      </w:pPr>
      <w:r>
        <w:t xml:space="preserve">                                                                                                                                           (руб.)</w:t>
      </w:r>
      <w:r/>
    </w:p>
    <w:tbl>
      <w:tblPr>
        <w:tblW w:w="10171" w:type="dxa"/>
        <w:jc w:val="center"/>
        <w:tblInd w:w="-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5"/>
        <w:gridCol w:w="1559"/>
        <w:gridCol w:w="1418"/>
        <w:gridCol w:w="1417"/>
        <w:gridCol w:w="690"/>
        <w:gridCol w:w="850"/>
        <w:gridCol w:w="851"/>
        <w:gridCol w:w="850"/>
        <w:gridCol w:w="851"/>
      </w:tblGrid>
      <w:tr>
        <w:tblPrEx/>
        <w:trPr>
          <w:trHeight w:val="443"/>
        </w:trPr>
        <w:tc>
          <w:tcPr>
            <w:tcW w:w="1685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Годовые назначения 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года по состоянию на 01.04.202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01.04.202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01.04.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исполнения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роста к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55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(%)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5"/>
        </w:trPr>
        <w:tc>
          <w:tcPr>
            <w:tcW w:w="1685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НДФЛ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159 567 800,00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25 347 935,51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20 218 918,50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ЕНВД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17 447 000,00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2 125 097,28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2 210 217,68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ЕСХН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2 816 000,00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4 860 558,52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2 729 685,50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Госпошлина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2 452 300,00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1 442 178,66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507 705,71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3 734 000,00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889 628,45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683 448,85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2 043 000,00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1 969 325,74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1 101 969,00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5 033 800,00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645 072,66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707 334,86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и перерасчеты по отмененным налогам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tabs>
                <w:tab w:val="left" w:pos="111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2 073 200,00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98 731,74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730 307,11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негативное воздействие на окр. среду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156 300,00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69 439,88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59 942,85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Штрафные санкции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1 251 000,00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243 444,59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274 276,06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материальных и нематериальных активов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757 300,00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2 017,83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2 864,25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17 266 800,00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4 353 520,23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4 341 203,65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поступающие в порядке возмещения расходов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234 050,00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49 482,00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53 594,37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Невыясненные поступления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9 476,22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7 158,14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3"/>
        </w:trPr>
        <w:tc>
          <w:tcPr>
            <w:tcW w:w="1685" w:type="dxa"/>
            <w:vAlign w:val="top"/>
            <w:textDirection w:val="lrTb"/>
            <w:noWrap w:val="false"/>
          </w:tcPr>
          <w:p>
            <w:pPr>
              <w:pStyle w:val="9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налоговых и неналоговых доходов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214 832 550,00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42 105 909,31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33 628 626,53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19,6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125,2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18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доходов бюджета муниципального района в отчетном периоде текущего года по сравнению с аналогичным периодом прошлого </w:t>
      </w:r>
      <w:r>
        <w:rPr>
          <w:sz w:val="26"/>
          <w:szCs w:val="26"/>
        </w:rPr>
        <w:t xml:space="preserve">года произошли следующие изменения. Так за отчетный период возросла доля поступления по </w:t>
      </w:r>
      <w:r>
        <w:rPr>
          <w:sz w:val="26"/>
          <w:szCs w:val="26"/>
        </w:rPr>
        <w:t xml:space="preserve">НДФЛ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0,1</w:t>
      </w:r>
      <w:r>
        <w:rPr>
          <w:sz w:val="26"/>
          <w:szCs w:val="26"/>
        </w:rPr>
        <w:t xml:space="preserve">%,</w:t>
      </w:r>
      <w:r>
        <w:rPr>
          <w:sz w:val="26"/>
          <w:szCs w:val="26"/>
        </w:rPr>
        <w:t xml:space="preserve"> ЕСХН на 3,4%, </w:t>
      </w:r>
      <w:r>
        <w:rPr>
          <w:sz w:val="26"/>
          <w:szCs w:val="26"/>
        </w:rPr>
        <w:t xml:space="preserve">госпошлине на 1,9%, акцизам на нефтепродукты на 0,1%, </w:t>
      </w:r>
      <w:r>
        <w:rPr>
          <w:sz w:val="26"/>
          <w:szCs w:val="26"/>
        </w:rPr>
        <w:t xml:space="preserve">патентной системе налогообложения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1,4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разрезе доходных источников з</w:t>
      </w:r>
      <w:r>
        <w:rPr>
          <w:sz w:val="26"/>
          <w:szCs w:val="26"/>
        </w:rPr>
        <w:t xml:space="preserve">а отчетный период </w:t>
      </w:r>
      <w:r>
        <w:rPr>
          <w:sz w:val="26"/>
          <w:szCs w:val="26"/>
        </w:rPr>
        <w:t xml:space="preserve">снизилась</w:t>
      </w:r>
      <w:r>
        <w:rPr>
          <w:sz w:val="26"/>
          <w:szCs w:val="26"/>
        </w:rPr>
        <w:t xml:space="preserve"> доля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УСН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1,5</w:t>
      </w:r>
      <w:r>
        <w:rPr>
          <w:sz w:val="26"/>
          <w:szCs w:val="26"/>
        </w:rPr>
        <w:t xml:space="preserve">%, транспортному налогу на 0,6%, доходам от использования имущества на 2,0%, </w:t>
      </w:r>
      <w:r>
        <w:rPr>
          <w:sz w:val="26"/>
          <w:szCs w:val="26"/>
        </w:rPr>
        <w:t xml:space="preserve">штрафным санкциям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0,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%, доходам, </w:t>
      </w:r>
      <w:r>
        <w:rPr>
          <w:sz w:val="26"/>
          <w:szCs w:val="26"/>
        </w:rPr>
        <w:t xml:space="preserve">от оказания платных услуг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2,5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, доходам, поступающем в порядке возмещения расходов на 0,1%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источниками поступления </w:t>
      </w:r>
      <w:r>
        <w:rPr>
          <w:sz w:val="26"/>
          <w:szCs w:val="26"/>
        </w:rPr>
        <w:t xml:space="preserve">доходов остаются</w:t>
      </w:r>
      <w:r>
        <w:rPr>
          <w:sz w:val="26"/>
          <w:szCs w:val="26"/>
        </w:rPr>
        <w:t xml:space="preserve"> НДФЛ, удельный вес которого в общей сумме поступивших доходов </w:t>
      </w:r>
      <w:r>
        <w:rPr>
          <w:sz w:val="26"/>
          <w:szCs w:val="26"/>
        </w:rPr>
        <w:t xml:space="preserve">составил </w:t>
      </w:r>
      <w:r>
        <w:rPr>
          <w:sz w:val="26"/>
          <w:szCs w:val="26"/>
        </w:rPr>
        <w:t xml:space="preserve">60,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%;</w:t>
      </w:r>
      <w:r>
        <w:rPr>
          <w:sz w:val="26"/>
          <w:szCs w:val="26"/>
        </w:rPr>
        <w:t xml:space="preserve"> ЕСХН – 11,5%,</w:t>
      </w:r>
      <w:r>
        <w:rPr>
          <w:sz w:val="26"/>
          <w:szCs w:val="26"/>
        </w:rPr>
        <w:t xml:space="preserve"> доходы</w:t>
      </w:r>
      <w:r>
        <w:rPr>
          <w:sz w:val="26"/>
          <w:szCs w:val="26"/>
        </w:rPr>
        <w:t xml:space="preserve"> от оказания платных услуг </w:t>
      </w:r>
      <w:r>
        <w:rPr>
          <w:sz w:val="26"/>
          <w:szCs w:val="26"/>
        </w:rPr>
        <w:t xml:space="preserve">10,4</w:t>
      </w:r>
      <w:r>
        <w:rPr>
          <w:sz w:val="26"/>
          <w:szCs w:val="26"/>
        </w:rPr>
        <w:t xml:space="preserve">%; УСН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5,1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Доля налоговых</w:t>
      </w:r>
      <w:r>
        <w:rPr>
          <w:sz w:val="26"/>
          <w:szCs w:val="26"/>
        </w:rPr>
        <w:t xml:space="preserve"> доходов в общей сумме поступивших </w:t>
      </w:r>
      <w:r>
        <w:rPr>
          <w:sz w:val="26"/>
          <w:szCs w:val="26"/>
        </w:rPr>
        <w:t xml:space="preserve">собственных </w:t>
      </w:r>
      <w:r>
        <w:rPr>
          <w:sz w:val="26"/>
          <w:szCs w:val="26"/>
        </w:rPr>
        <w:t xml:space="preserve">доходов составляет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%, неналоговых </w:t>
      </w:r>
      <w:r>
        <w:rPr>
          <w:sz w:val="26"/>
          <w:szCs w:val="26"/>
        </w:rPr>
        <w:t xml:space="preserve">доходов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1,5</w:t>
      </w:r>
      <w:r>
        <w:rPr>
          <w:sz w:val="26"/>
          <w:szCs w:val="26"/>
        </w:rPr>
        <w:t xml:space="preserve">%.</w:t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Налога на доходы физических </w:t>
      </w:r>
      <w:r>
        <w:rPr>
          <w:b/>
          <w:sz w:val="26"/>
          <w:szCs w:val="26"/>
        </w:rPr>
        <w:t xml:space="preserve">лиц </w:t>
      </w:r>
      <w:r>
        <w:rPr>
          <w:sz w:val="26"/>
          <w:szCs w:val="26"/>
        </w:rPr>
        <w:t xml:space="preserve">поступило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25 347 935,51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15,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от годовых назначений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125,4</w:t>
      </w:r>
      <w:r>
        <w:rPr>
          <w:sz w:val="26"/>
          <w:szCs w:val="26"/>
        </w:rPr>
        <w:t xml:space="preserve">% к соответствующему периоду прошлого года.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данный рост повлияло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 заработной платы с 01.11.2024г., а также за счет «майских» указов президента. 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Акцизов на </w:t>
      </w:r>
      <w:r>
        <w:rPr>
          <w:b/>
          <w:sz w:val="26"/>
          <w:szCs w:val="26"/>
        </w:rPr>
        <w:t xml:space="preserve">нефтепродукты поступило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889 628,45</w:t>
      </w:r>
      <w:r>
        <w:rPr>
          <w:sz w:val="26"/>
          <w:szCs w:val="26"/>
        </w:rPr>
        <w:t xml:space="preserve"> руб. при плане </w:t>
      </w:r>
      <w:r>
        <w:rPr>
          <w:sz w:val="26"/>
          <w:szCs w:val="26"/>
        </w:rPr>
        <w:t xml:space="preserve">3 734 000,00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что составило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% от годовых назначений. </w:t>
      </w:r>
      <w:r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уровню прошлого года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30,2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Платежи по данному виду </w:t>
      </w:r>
      <w:r>
        <w:rPr>
          <w:sz w:val="26"/>
          <w:szCs w:val="26"/>
        </w:rPr>
        <w:t xml:space="preserve">доходов поступают в соответствии с нормативами отчислений.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упрощенной системе налогообложения</w:t>
      </w:r>
      <w:r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 xml:space="preserve">2 125 097,68</w:t>
      </w:r>
      <w:r>
        <w:rPr>
          <w:sz w:val="26"/>
          <w:szCs w:val="26"/>
        </w:rPr>
        <w:t xml:space="preserve"> руб.  при плановых назначениях </w:t>
      </w:r>
      <w:r>
        <w:rPr>
          <w:sz w:val="26"/>
          <w:szCs w:val="26"/>
        </w:rPr>
        <w:t xml:space="preserve">17 447 000,00</w:t>
      </w:r>
      <w:r>
        <w:rPr>
          <w:sz w:val="26"/>
          <w:szCs w:val="26"/>
        </w:rPr>
        <w:t xml:space="preserve"> руб., что составило 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,2% от годовых назначений и </w:t>
      </w:r>
      <w:r>
        <w:rPr>
          <w:sz w:val="26"/>
          <w:szCs w:val="26"/>
        </w:rPr>
        <w:t xml:space="preserve">96,1</w:t>
      </w:r>
      <w:r>
        <w:rPr>
          <w:sz w:val="26"/>
          <w:szCs w:val="26"/>
        </w:rPr>
        <w:t xml:space="preserve">% к уровню прошлого года. В отчетном периоде поступил налог от организаций и ИП за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Единого сельскохозяйственного налога</w:t>
      </w:r>
      <w:r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 xml:space="preserve">4 860 558,52</w:t>
      </w:r>
      <w:r>
        <w:rPr>
          <w:sz w:val="26"/>
          <w:szCs w:val="26"/>
        </w:rPr>
        <w:t xml:space="preserve"> руб., при плане </w:t>
      </w:r>
      <w:r>
        <w:rPr>
          <w:sz w:val="26"/>
          <w:szCs w:val="26"/>
        </w:rPr>
        <w:t xml:space="preserve">2 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16 000,00</w:t>
      </w:r>
      <w:r>
        <w:rPr>
          <w:sz w:val="26"/>
          <w:szCs w:val="26"/>
        </w:rPr>
        <w:t xml:space="preserve"> руб. План годовых назначений выполнен на </w:t>
      </w:r>
      <w:r>
        <w:rPr>
          <w:sz w:val="26"/>
          <w:szCs w:val="26"/>
        </w:rPr>
        <w:t xml:space="preserve">172,6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к уровню прошлого года на </w:t>
      </w:r>
      <w:r>
        <w:rPr>
          <w:sz w:val="26"/>
          <w:szCs w:val="26"/>
        </w:rPr>
        <w:t xml:space="preserve">78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  <w:t xml:space="preserve">Поступили средства от ЗАО СХП «Ильинское» в сумме </w:t>
      </w:r>
      <w:r>
        <w:rPr>
          <w:sz w:val="26"/>
          <w:szCs w:val="26"/>
        </w:rPr>
        <w:t xml:space="preserve">8 931 620,00</w:t>
      </w:r>
      <w:r>
        <w:rPr>
          <w:sz w:val="26"/>
          <w:szCs w:val="26"/>
        </w:rPr>
        <w:t xml:space="preserve"> руб. Оставшаяся сумма поступила от КФХ.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Платежи поступают в бюджет муниципального района по нормативу 50%.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По налогу, взимаемому в связи с применением патентной системы налогообложения </w:t>
      </w:r>
      <w:r>
        <w:rPr>
          <w:sz w:val="26"/>
          <w:szCs w:val="26"/>
        </w:rPr>
        <w:t xml:space="preserve">поступления, составили </w:t>
      </w:r>
      <w:r>
        <w:rPr>
          <w:sz w:val="26"/>
          <w:szCs w:val="26"/>
        </w:rPr>
        <w:t xml:space="preserve">1 969 325,74</w:t>
      </w:r>
      <w:r>
        <w:rPr>
          <w:sz w:val="26"/>
          <w:szCs w:val="26"/>
        </w:rPr>
        <w:t xml:space="preserve"> руб. Годовые назначения выполнены на </w:t>
      </w:r>
      <w:r>
        <w:rPr>
          <w:sz w:val="26"/>
          <w:szCs w:val="26"/>
        </w:rPr>
        <w:t xml:space="preserve">96,4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  <w:t xml:space="preserve"> Увеличение к уровню прошлого года на 78,7%. Сложившуюся ситуацию сможем пояснить после опубликования ФНС формы №1-ПАТЕНТ за полугодие.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Транспортного налога </w:t>
      </w:r>
      <w:r>
        <w:rPr>
          <w:color w:val="000000"/>
          <w:sz w:val="26"/>
          <w:szCs w:val="26"/>
        </w:rPr>
        <w:t xml:space="preserve">поступило 645</w:t>
      </w:r>
      <w:r>
        <w:rPr>
          <w:color w:val="000000"/>
          <w:sz w:val="26"/>
          <w:szCs w:val="26"/>
        </w:rPr>
        <w:t xml:space="preserve"> 072,66</w:t>
      </w:r>
      <w:r>
        <w:rPr>
          <w:color w:val="000000"/>
          <w:sz w:val="26"/>
          <w:szCs w:val="26"/>
        </w:rPr>
        <w:t xml:space="preserve"> руб. при плановых назначениях 5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033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00,00</w:t>
      </w:r>
      <w:r>
        <w:rPr>
          <w:color w:val="000000"/>
          <w:sz w:val="26"/>
          <w:szCs w:val="26"/>
        </w:rPr>
        <w:t xml:space="preserve"> руб. что составляет 12,8% или 91,2% к уровню прошлого года. В отчетном периоде поступили платежи: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юридических лиц в сумме 172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27,73</w:t>
      </w:r>
      <w:r>
        <w:rPr>
          <w:sz w:val="26"/>
          <w:szCs w:val="26"/>
        </w:rPr>
        <w:t xml:space="preserve"> руб.  что составляет 36,0% плановых назначений и 120,7% к уровню прошлого года.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физических лиц – 472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44,93 </w:t>
      </w:r>
      <w:r>
        <w:rPr>
          <w:sz w:val="26"/>
          <w:szCs w:val="26"/>
        </w:rPr>
        <w:t xml:space="preserve">руб. или 10,4% плановых назначений. Снижение к уровню прошлого года на 16,3%. Основной объем поступлений запланирован на 4 квартал согласно срокам уплаты.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Госпошлины</w:t>
      </w:r>
      <w:r>
        <w:rPr>
          <w:color w:val="000000"/>
          <w:sz w:val="26"/>
          <w:szCs w:val="26"/>
        </w:rPr>
        <w:t xml:space="preserve"> поступило 1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442</w:t>
      </w:r>
      <w:r>
        <w:rPr>
          <w:color w:val="000000"/>
          <w:sz w:val="26"/>
          <w:szCs w:val="26"/>
        </w:rPr>
        <w:t xml:space="preserve"> 178,66</w:t>
      </w:r>
      <w:r>
        <w:rPr>
          <w:color w:val="000000"/>
          <w:sz w:val="26"/>
          <w:szCs w:val="26"/>
        </w:rPr>
        <w:t xml:space="preserve"> руб. при плане 2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45</w:t>
      </w:r>
      <w:r>
        <w:rPr>
          <w:color w:val="000000"/>
          <w:sz w:val="26"/>
          <w:szCs w:val="26"/>
        </w:rPr>
        <w:t xml:space="preserve">2 </w:t>
      </w:r>
      <w:r>
        <w:rPr>
          <w:color w:val="000000"/>
          <w:sz w:val="26"/>
          <w:szCs w:val="26"/>
        </w:rPr>
        <w:t xml:space="preserve">3</w:t>
      </w:r>
      <w:r>
        <w:rPr>
          <w:color w:val="000000"/>
          <w:sz w:val="26"/>
          <w:szCs w:val="26"/>
        </w:rPr>
        <w:t xml:space="preserve">00,00</w:t>
      </w:r>
      <w:r>
        <w:rPr>
          <w:color w:val="000000"/>
          <w:sz w:val="26"/>
          <w:szCs w:val="26"/>
        </w:rPr>
        <w:t xml:space="preserve"> руб., что составляет 58,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% от годовых назначений и 28</w:t>
      </w:r>
      <w:r>
        <w:rPr>
          <w:color w:val="000000"/>
          <w:sz w:val="26"/>
          <w:szCs w:val="26"/>
        </w:rPr>
        <w:t xml:space="preserve">4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6"/>
          <w:szCs w:val="26"/>
        </w:rPr>
        <w:t xml:space="preserve">% к уровню прошлого года.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Рост к уровню прошлого года за счет увеличения размера госпошлины в два раза. По данному виду доходов поступает в основном госпошлина по делам, рассматриваемым в судах общей юрисдикции, удельный вес которой составил 100,0% в общей сумме поступлений.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источников неналоговых доходов, поступавших в доход </w:t>
      </w:r>
      <w:r>
        <w:rPr>
          <w:sz w:val="26"/>
          <w:szCs w:val="26"/>
        </w:rPr>
        <w:t xml:space="preserve">бюджета муниципального района,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остаются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доходы от использования имущества, находящегося в муниципальной собственности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За отчетный период поступило </w:t>
      </w:r>
      <w:r>
        <w:rPr>
          <w:sz w:val="26"/>
          <w:szCs w:val="26"/>
        </w:rPr>
        <w:t xml:space="preserve">98 731,74</w:t>
      </w:r>
      <w:r>
        <w:rPr>
          <w:sz w:val="26"/>
          <w:szCs w:val="26"/>
        </w:rPr>
        <w:t xml:space="preserve"> руб., что составляет </w:t>
      </w:r>
      <w:r>
        <w:rPr>
          <w:sz w:val="26"/>
          <w:szCs w:val="26"/>
        </w:rPr>
        <w:t xml:space="preserve">4,8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от годовых назначений или </w:t>
      </w:r>
      <w:r>
        <w:rPr>
          <w:sz w:val="26"/>
          <w:szCs w:val="26"/>
        </w:rPr>
        <w:t xml:space="preserve">13,5</w:t>
      </w:r>
      <w:r>
        <w:rPr>
          <w:sz w:val="26"/>
          <w:szCs w:val="26"/>
        </w:rPr>
        <w:t xml:space="preserve">% к уровню прошлого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данному виду доходов отражены следующие поступления: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арендная плата за земельные участки</w:t>
      </w:r>
      <w:r>
        <w:rPr>
          <w:sz w:val="28"/>
          <w:szCs w:val="28"/>
        </w:rPr>
        <w:t xml:space="preserve">.  Доходов, получаемых в виде арендной платы за земельные участки, поступило </w:t>
      </w:r>
      <w:r>
        <w:rPr>
          <w:sz w:val="28"/>
          <w:szCs w:val="28"/>
        </w:rPr>
        <w:t xml:space="preserve">61 841,81</w:t>
      </w:r>
      <w:r>
        <w:rPr>
          <w:sz w:val="28"/>
          <w:szCs w:val="28"/>
        </w:rPr>
        <w:t xml:space="preserve"> руб., что составило 3,6% от годовых назначений и </w:t>
      </w:r>
      <w:r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к уровню прошлого года</w:t>
      </w:r>
      <w:r>
        <w:rPr>
          <w:sz w:val="28"/>
          <w:szCs w:val="28"/>
        </w:rPr>
        <w:t xml:space="preserve"> на 90,9%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снижение связано с приведением в соответствие договоров аренды с действующим законодательством, а именно постановлением Правительства НСО от 10.06.2025г. №219-п «Об установл</w:t>
      </w:r>
      <w:r>
        <w:rPr>
          <w:sz w:val="28"/>
          <w:szCs w:val="28"/>
        </w:rPr>
        <w:t xml:space="preserve">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 (в ред. от 25.09.2024 №446-п), решением</w:t>
      </w:r>
      <w:r>
        <w:rPr>
          <w:sz w:val="28"/>
          <w:szCs w:val="28"/>
        </w:rPr>
        <w:t xml:space="preserve"> Совета депутатов Доволенского района Новосибирской области от 24.12.2024г. №339 «О внесении изменений в решение двадцать пятой сессии Совета депутатов Доволенского района Новосибирской области (третьего созыва) от 23.03.2018г. №178 «Об утверждении коэффиц</w:t>
      </w:r>
      <w:r>
        <w:rPr>
          <w:sz w:val="28"/>
          <w:szCs w:val="28"/>
        </w:rPr>
        <w:t xml:space="preserve">иентов, применяемых для определения годового размера арендной платы за использование земельных участков на территории Доволенского района Новосибирской области, государственная собственность на которые не разграничена». В 1 квартале производился перерасчет</w:t>
      </w:r>
      <w:r>
        <w:rPr>
          <w:sz w:val="28"/>
          <w:szCs w:val="28"/>
        </w:rPr>
        <w:t xml:space="preserve"> арендной платы, вносились изменения в договора аренды. Частично арендаторам были направлены уведомления. Работа по рассылки уведомлений будет завершена в полном объеме до 14.04.2025г. Во 2 квартале ожидается поступление арендный платежей за 1 и 2 квартал.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  <w:lang w:val="en-US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доходы от сдачи в аренду имущества</w:t>
      </w:r>
      <w:r>
        <w:rPr>
          <w:sz w:val="26"/>
          <w:szCs w:val="26"/>
        </w:rPr>
        <w:t xml:space="preserve">. Данные платежи поступают в бюджет муниципального района по нормативу 100%. За отчетный период поступило </w:t>
      </w:r>
      <w:r>
        <w:rPr>
          <w:sz w:val="26"/>
          <w:szCs w:val="26"/>
        </w:rPr>
        <w:t xml:space="preserve">20 523,72</w:t>
      </w:r>
      <w:r>
        <w:rPr>
          <w:sz w:val="26"/>
          <w:szCs w:val="26"/>
        </w:rPr>
        <w:t xml:space="preserve"> руб. арендной платы, что составило </w:t>
      </w:r>
      <w:r>
        <w:rPr>
          <w:sz w:val="26"/>
          <w:szCs w:val="26"/>
        </w:rPr>
        <w:t xml:space="preserve">7,0</w:t>
      </w:r>
      <w:r>
        <w:rPr>
          <w:sz w:val="26"/>
          <w:szCs w:val="26"/>
        </w:rPr>
        <w:t xml:space="preserve">% от годовых назначений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44,8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к уровню соответствующего периода прошлого года</w:t>
      </w:r>
      <w:r>
        <w:rPr>
          <w:sz w:val="26"/>
          <w:szCs w:val="26"/>
        </w:rPr>
        <w:t xml:space="preserve">.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  <w:lang w:val="en-US"/>
        </w:rPr>
      </w:r>
      <w:r>
        <w:rPr>
          <w:color w:val="ff0000"/>
          <w:sz w:val="26"/>
          <w:szCs w:val="26"/>
          <w:lang w:val="en-US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доходы от использования имущества, находящегося в собственности муниципального района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данному</w:t>
      </w:r>
      <w:r>
        <w:rPr>
          <w:sz w:val="28"/>
          <w:szCs w:val="28"/>
        </w:rPr>
        <w:t xml:space="preserve"> виду доходов поступили платежи в сумме </w:t>
      </w:r>
      <w:r>
        <w:rPr>
          <w:sz w:val="28"/>
          <w:szCs w:val="28"/>
        </w:rPr>
        <w:t xml:space="preserve">16 206,42</w:t>
      </w:r>
      <w:r>
        <w:rPr>
          <w:sz w:val="28"/>
          <w:szCs w:val="28"/>
        </w:rPr>
        <w:t xml:space="preserve"> руб., что составило 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% от годовых назначений и </w:t>
      </w:r>
      <w:r>
        <w:rPr>
          <w:sz w:val="28"/>
          <w:szCs w:val="28"/>
        </w:rPr>
        <w:t xml:space="preserve">более чем в 8 раз </w:t>
      </w:r>
      <w:r>
        <w:rPr>
          <w:sz w:val="28"/>
          <w:szCs w:val="28"/>
        </w:rPr>
        <w:t xml:space="preserve">к уровню прошлого года</w:t>
      </w:r>
      <w:r>
        <w:rPr>
          <w:sz w:val="28"/>
          <w:szCs w:val="28"/>
        </w:rPr>
        <w:t xml:space="preserve">, в том числе поступила плата за соц. наем жилья в сумме 10 408,98 руб. Оставшаяся сумма 5 797,44 руб. от ПАО «Ростелеком». 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Сложившийся рост</w:t>
      </w:r>
      <w:r>
        <w:rPr>
          <w:sz w:val="28"/>
          <w:szCs w:val="28"/>
        </w:rPr>
        <w:t xml:space="preserve"> к уровню прошлого года за счет поступлени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за соц. наем жилья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так как</w:t>
      </w:r>
      <w:r>
        <w:rPr>
          <w:sz w:val="28"/>
          <w:szCs w:val="28"/>
        </w:rPr>
        <w:t xml:space="preserve"> в 2024г. </w:t>
      </w:r>
      <w:r>
        <w:rPr>
          <w:sz w:val="28"/>
          <w:szCs w:val="28"/>
        </w:rPr>
        <w:t xml:space="preserve">платежи </w:t>
      </w:r>
      <w:r>
        <w:rPr>
          <w:sz w:val="28"/>
          <w:szCs w:val="28"/>
        </w:rPr>
        <w:t xml:space="preserve">начали поступать </w:t>
      </w:r>
      <w:r>
        <w:rPr>
          <w:sz w:val="28"/>
          <w:szCs w:val="28"/>
        </w:rPr>
        <w:t xml:space="preserve">со 2 квартала.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Платы за негативное воздействие на окружающую среду </w:t>
      </w:r>
      <w:r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 xml:space="preserve">69 439,88</w:t>
      </w:r>
      <w:r>
        <w:rPr>
          <w:sz w:val="26"/>
          <w:szCs w:val="26"/>
        </w:rPr>
        <w:t xml:space="preserve"> руб., что составляет </w:t>
      </w:r>
      <w:r>
        <w:rPr>
          <w:sz w:val="26"/>
          <w:szCs w:val="26"/>
        </w:rPr>
        <w:t xml:space="preserve">44,4</w:t>
      </w:r>
      <w:r>
        <w:rPr>
          <w:sz w:val="26"/>
          <w:szCs w:val="26"/>
        </w:rPr>
        <w:t xml:space="preserve">% от годовых назначений и </w:t>
      </w:r>
      <w:r>
        <w:rPr>
          <w:sz w:val="26"/>
          <w:szCs w:val="26"/>
        </w:rPr>
        <w:t xml:space="preserve">115,8</w:t>
      </w:r>
      <w:r>
        <w:rPr>
          <w:sz w:val="26"/>
          <w:szCs w:val="26"/>
        </w:rPr>
        <w:t xml:space="preserve">% к уровню прошлого года. </w:t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2022г. норматив отчислений в бюджет муниципального района составил 100%.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Доходов от оказания платных услуг и компенсации затрат государства</w:t>
      </w:r>
      <w:r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 xml:space="preserve">4 403 002,23</w:t>
      </w:r>
      <w:r>
        <w:rPr>
          <w:sz w:val="26"/>
          <w:szCs w:val="26"/>
        </w:rPr>
        <w:t xml:space="preserve"> руб., при плане </w:t>
      </w:r>
      <w:r>
        <w:rPr>
          <w:sz w:val="26"/>
          <w:szCs w:val="26"/>
        </w:rPr>
        <w:t xml:space="preserve">17 500 850,00</w:t>
      </w:r>
      <w:r>
        <w:rPr>
          <w:sz w:val="26"/>
          <w:szCs w:val="26"/>
        </w:rPr>
        <w:t xml:space="preserve"> руб. План годовых назначений выполнен на </w:t>
      </w:r>
      <w:r>
        <w:rPr>
          <w:sz w:val="26"/>
          <w:szCs w:val="26"/>
        </w:rPr>
        <w:t xml:space="preserve">25,2</w:t>
      </w:r>
      <w:r>
        <w:rPr>
          <w:sz w:val="26"/>
          <w:szCs w:val="26"/>
        </w:rPr>
        <w:t xml:space="preserve">%, с увеличением к уровню прошлого года на </w:t>
      </w:r>
      <w:r>
        <w:rPr>
          <w:sz w:val="26"/>
          <w:szCs w:val="26"/>
        </w:rPr>
        <w:t xml:space="preserve">100,2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данному доходному источнику в текущем году отражены следующие виды доходов: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доходов от оказания платных услуг</w:t>
      </w:r>
      <w:r>
        <w:rPr>
          <w:sz w:val="26"/>
          <w:szCs w:val="26"/>
        </w:rPr>
        <w:t xml:space="preserve"> зачислено в бюджет в сумме </w:t>
      </w:r>
      <w:r>
        <w:rPr>
          <w:sz w:val="26"/>
          <w:szCs w:val="26"/>
        </w:rPr>
        <w:t xml:space="preserve">4 353 520,23</w:t>
      </w:r>
      <w:r>
        <w:rPr>
          <w:sz w:val="26"/>
          <w:szCs w:val="26"/>
        </w:rPr>
        <w:t xml:space="preserve"> руб. в том числе: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за посещение дошкольных образовательных учреждений и поступление от школьных столовых составила 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514</w:t>
      </w:r>
      <w:r>
        <w:rPr>
          <w:sz w:val="28"/>
          <w:szCs w:val="28"/>
        </w:rPr>
        <w:t xml:space="preserve"> 412,97</w:t>
      </w:r>
      <w:r>
        <w:rPr>
          <w:sz w:val="28"/>
          <w:szCs w:val="28"/>
        </w:rPr>
        <w:t xml:space="preserve"> руб. и 103,7% к уровню прошлого года. Рост поступлений за счет увеличения количества учащихся, питающихся за полную стоимость;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социальные услуги по надомному обслуживанию 1 378 397,26 руб. к уровню прошлого года 106,5%, рост за счет увеличения объема оказываемых услуг;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за проведение культурно-массовых мероприятий 178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150,00</w:t>
      </w:r>
      <w:r>
        <w:rPr>
          <w:sz w:val="28"/>
          <w:szCs w:val="28"/>
        </w:rPr>
        <w:t xml:space="preserve"> руб. и 59,9% к уровню прошлого года. На снижение к уровню прошлого года повлияла процедура объединения учреждений культуры в одно учреждений.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плавательного бассейна 282</w:t>
      </w:r>
      <w:r>
        <w:rPr>
          <w:sz w:val="28"/>
          <w:szCs w:val="28"/>
        </w:rPr>
        <w:t xml:space="preserve"> 560,00</w:t>
      </w:r>
      <w:r>
        <w:rPr>
          <w:sz w:val="28"/>
          <w:szCs w:val="28"/>
        </w:rPr>
        <w:t xml:space="preserve"> руб. со снижением к уровню прошлого года на 13,1% за счет снижения объема оказанных услуг в 1 квартале 2025г.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Годовые назначения исполнены на 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%. Поступление к уровню прошлого года по данным видам услуг составило 10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доход</w:t>
      </w:r>
      <w:r>
        <w:rPr>
          <w:i/>
          <w:sz w:val="26"/>
          <w:szCs w:val="26"/>
        </w:rPr>
        <w:t xml:space="preserve">ы</w:t>
      </w:r>
      <w:r>
        <w:rPr>
          <w:i/>
          <w:sz w:val="26"/>
          <w:szCs w:val="26"/>
        </w:rPr>
        <w:t xml:space="preserve"> от компенсации затрат бюджет</w:t>
      </w:r>
      <w:r>
        <w:rPr>
          <w:i/>
          <w:sz w:val="26"/>
          <w:szCs w:val="26"/>
        </w:rPr>
        <w:t xml:space="preserve">а </w:t>
      </w:r>
      <w:r>
        <w:rPr>
          <w:i/>
          <w:sz w:val="26"/>
          <w:szCs w:val="26"/>
        </w:rPr>
        <w:t xml:space="preserve">муниципального 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1 квартале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поступили в сумме </w:t>
      </w:r>
      <w:r>
        <w:rPr>
          <w:sz w:val="26"/>
          <w:szCs w:val="26"/>
        </w:rPr>
        <w:t xml:space="preserve">2 232,00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при плановых назначениях 142 700,00 руб.  что составляет 1,6% плановых назначений и 115,2% к соответствующему периоду прошлого года.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прочих доходов от компенсации затрат в консолидированный бюджет </w:t>
      </w:r>
      <w:r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 xml:space="preserve">47 250,00</w:t>
      </w:r>
      <w:r>
        <w:rPr>
          <w:sz w:val="26"/>
          <w:szCs w:val="26"/>
        </w:rPr>
        <w:t xml:space="preserve"> руб. на компенсацию расходов по организации питания участников областной социальной акции «Снежный десант»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Доходов от продажи материальных и нематериальных активов</w:t>
      </w:r>
      <w:r>
        <w:rPr>
          <w:color w:val="000000"/>
          <w:sz w:val="26"/>
          <w:szCs w:val="26"/>
        </w:rPr>
        <w:t xml:space="preserve"> поступило </w:t>
      </w:r>
      <w:r>
        <w:rPr>
          <w:color w:val="000000"/>
          <w:sz w:val="26"/>
          <w:szCs w:val="26"/>
        </w:rPr>
        <w:t xml:space="preserve">2 017,83</w:t>
      </w:r>
      <w:r>
        <w:rPr>
          <w:color w:val="000000"/>
          <w:sz w:val="26"/>
          <w:szCs w:val="26"/>
        </w:rPr>
        <w:t xml:space="preserve"> руб. при плановых назначениях 757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3</w:t>
      </w:r>
      <w:r>
        <w:rPr>
          <w:color w:val="000000"/>
          <w:sz w:val="26"/>
          <w:szCs w:val="26"/>
        </w:rPr>
        <w:t xml:space="preserve">00,00</w:t>
      </w:r>
      <w:r>
        <w:rPr>
          <w:color w:val="000000"/>
          <w:sz w:val="26"/>
          <w:szCs w:val="26"/>
        </w:rPr>
        <w:t xml:space="preserve"> руб. Годовые назначения исполнены на 0,3%.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поступили средства от физического лица за увеличения земельного участка для ведения ЛПХ площадью 45 кв. 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Штрафных санкций</w:t>
      </w:r>
      <w:r>
        <w:rPr>
          <w:color w:val="000000"/>
          <w:sz w:val="26"/>
          <w:szCs w:val="26"/>
        </w:rPr>
        <w:t xml:space="preserve"> поступило 243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4</w:t>
      </w:r>
      <w:r>
        <w:rPr>
          <w:color w:val="000000"/>
          <w:sz w:val="26"/>
          <w:szCs w:val="26"/>
        </w:rPr>
        <w:t xml:space="preserve">44,59</w:t>
      </w:r>
      <w:r>
        <w:rPr>
          <w:color w:val="000000"/>
          <w:sz w:val="26"/>
          <w:szCs w:val="26"/>
        </w:rPr>
        <w:t xml:space="preserve"> руб. при плане 1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251</w:t>
      </w:r>
      <w:r>
        <w:rPr>
          <w:color w:val="000000"/>
          <w:sz w:val="26"/>
          <w:szCs w:val="26"/>
        </w:rPr>
        <w:t xml:space="preserve"> 00</w:t>
      </w:r>
      <w:r>
        <w:rPr>
          <w:color w:val="000000"/>
          <w:sz w:val="26"/>
          <w:szCs w:val="26"/>
        </w:rPr>
        <w:t xml:space="preserve">0</w:t>
      </w:r>
      <w:r>
        <w:rPr>
          <w:color w:val="000000"/>
          <w:sz w:val="26"/>
          <w:szCs w:val="26"/>
        </w:rPr>
        <w:t xml:space="preserve">,00 </w:t>
      </w:r>
      <w:r>
        <w:rPr>
          <w:color w:val="000000"/>
          <w:sz w:val="26"/>
          <w:szCs w:val="26"/>
        </w:rPr>
        <w:t xml:space="preserve">руб., что составляет 19,5% от годовых назначений и 88,7% к уровню прошлого года.  </w:t>
      </w:r>
      <w:r>
        <w:rPr>
          <w:sz w:val="26"/>
          <w:szCs w:val="26"/>
        </w:rPr>
        <w:t xml:space="preserve">Снижение к уровню прошлого года произошло за счет </w:t>
      </w:r>
      <w:r>
        <w:rPr>
          <w:sz w:val="26"/>
          <w:szCs w:val="26"/>
        </w:rPr>
        <w:t xml:space="preserve">сумм по искам о возмещении вреда, причиненного окружающей среде, подлежащие зачислению в бюджеты муниципальных районов, налагаемые Министерством природных ресурсов и экологии НСО. По данному доходному источнику в 1 квартале 2024г. поступления составили 188</w:t>
      </w:r>
      <w:r>
        <w:rPr>
          <w:sz w:val="26"/>
          <w:szCs w:val="26"/>
        </w:rPr>
        <w:t xml:space="preserve"> 590,25</w:t>
      </w:r>
      <w:r>
        <w:rPr>
          <w:sz w:val="26"/>
          <w:szCs w:val="26"/>
        </w:rPr>
        <w:t xml:space="preserve"> руб., в аналогичном периоде текущего года поступления составили 11</w:t>
      </w:r>
      <w:r>
        <w:rPr>
          <w:sz w:val="26"/>
          <w:szCs w:val="26"/>
        </w:rPr>
        <w:t xml:space="preserve"> 873,76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Состояние платежей в бюджет Доволенского района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Недоимка по состоянию на 01.0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(по данным интернет-портала «Открытый бюджет Новосибирской области») в бюджет муниципального района составила </w:t>
      </w:r>
      <w:r>
        <w:rPr>
          <w:sz w:val="26"/>
          <w:szCs w:val="26"/>
        </w:rPr>
        <w:t xml:space="preserve">4 643,69</w:t>
      </w:r>
      <w:r>
        <w:rPr>
          <w:sz w:val="26"/>
          <w:szCs w:val="26"/>
        </w:rPr>
        <w:t xml:space="preserve"> тыс. руб. Недоимка с начала года </w:t>
      </w:r>
      <w:r>
        <w:rPr>
          <w:sz w:val="26"/>
          <w:szCs w:val="26"/>
        </w:rPr>
        <w:t xml:space="preserve">увеличилась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1 004,28</w:t>
      </w:r>
      <w:r>
        <w:rPr>
          <w:sz w:val="26"/>
          <w:szCs w:val="26"/>
        </w:rPr>
        <w:t xml:space="preserve"> тыс. руб. в том числе по </w:t>
      </w:r>
      <w:r>
        <w:rPr>
          <w:sz w:val="26"/>
          <w:szCs w:val="26"/>
        </w:rPr>
        <w:t xml:space="preserve">НДФЛ на </w:t>
      </w:r>
      <w:r>
        <w:rPr>
          <w:sz w:val="26"/>
          <w:szCs w:val="26"/>
        </w:rPr>
        <w:t xml:space="preserve">1 030,45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по ПСНО на 254,06 тыс.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Снизилась</w:t>
      </w:r>
      <w:r>
        <w:rPr>
          <w:sz w:val="26"/>
          <w:szCs w:val="26"/>
        </w:rPr>
        <w:t xml:space="preserve"> по УСН на </w:t>
      </w:r>
      <w:r>
        <w:rPr>
          <w:sz w:val="26"/>
          <w:szCs w:val="26"/>
        </w:rPr>
        <w:t xml:space="preserve">1,98</w:t>
      </w:r>
      <w:r>
        <w:rPr>
          <w:sz w:val="26"/>
          <w:szCs w:val="26"/>
        </w:rPr>
        <w:t xml:space="preserve"> тыс. руб.,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транспортному налогу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198,25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 отчетный период администрацией района проведено </w:t>
      </w:r>
      <w:r>
        <w:rPr>
          <w:sz w:val="26"/>
          <w:szCs w:val="26"/>
          <w:lang w:eastAsia="en-US"/>
        </w:rPr>
        <w:t xml:space="preserve">1</w:t>
      </w:r>
      <w:r>
        <w:rPr>
          <w:sz w:val="26"/>
          <w:szCs w:val="26"/>
          <w:lang w:eastAsia="en-US"/>
        </w:rPr>
        <w:t xml:space="preserve"> заседания Межведомственной комиссии по вопросам собираемости налоговых и неналоговых доходов и повышения эффективности работы с убыточными организациями. </w:t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  <w:lang w:val="en-US" w:eastAsia="en-US"/>
        </w:rPr>
      </w:pPr>
      <w:r>
        <w:rPr>
          <w:color w:val="ff0000"/>
          <w:sz w:val="26"/>
          <w:szCs w:val="26"/>
          <w:lang w:val="en-US" w:eastAsia="en-US"/>
        </w:rPr>
      </w:r>
      <w:r>
        <w:rPr>
          <w:color w:val="ff0000"/>
          <w:sz w:val="26"/>
          <w:szCs w:val="26"/>
          <w:lang w:val="en-US" w:eastAsia="en-US"/>
        </w:rPr>
      </w:r>
      <w:r>
        <w:rPr>
          <w:color w:val="ff0000"/>
          <w:sz w:val="26"/>
          <w:szCs w:val="26"/>
          <w:lang w:val="en-US" w:eastAsia="en-US"/>
        </w:rPr>
      </w:r>
    </w:p>
    <w:p>
      <w:pPr>
        <w:pStyle w:val="918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</w:t>
      </w:r>
      <w:r>
        <w:rPr>
          <w:b/>
          <w:sz w:val="26"/>
          <w:szCs w:val="26"/>
        </w:rPr>
        <w:t xml:space="preserve">жетной росписи за 1 к</w:t>
      </w:r>
      <w:r>
        <w:rPr>
          <w:b/>
          <w:sz w:val="26"/>
          <w:szCs w:val="26"/>
        </w:rPr>
        <w:t xml:space="preserve">вартал 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1 квартал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в бюджет Доволенского района поступило</w:t>
      </w:r>
      <w:r>
        <w:rPr>
          <w:sz w:val="26"/>
          <w:szCs w:val="26"/>
        </w:rPr>
        <w:t xml:space="preserve"> доходов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311 628 119,50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Утвержденный план бюджетной росписи на 1 квартал в сумме </w:t>
      </w:r>
      <w:r>
        <w:rPr>
          <w:sz w:val="26"/>
          <w:szCs w:val="26"/>
        </w:rPr>
        <w:t xml:space="preserve">357 821 921,60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 выполнен на </w:t>
      </w:r>
      <w:r>
        <w:rPr>
          <w:sz w:val="26"/>
          <w:szCs w:val="26"/>
        </w:rPr>
        <w:t xml:space="preserve">87,1</w:t>
      </w:r>
      <w:r>
        <w:rPr>
          <w:sz w:val="26"/>
          <w:szCs w:val="26"/>
        </w:rPr>
        <w:t xml:space="preserve">%. Процент исполнения бюджетной росписи по налоговым и неналоговым доходам составил </w:t>
      </w:r>
      <w:r>
        <w:rPr>
          <w:sz w:val="26"/>
          <w:szCs w:val="26"/>
        </w:rPr>
        <w:t xml:space="preserve">119,6</w:t>
      </w:r>
      <w:r>
        <w:rPr>
          <w:sz w:val="26"/>
          <w:szCs w:val="26"/>
        </w:rPr>
        <w:t xml:space="preserve">%.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 плановых назначениях в сумме </w:t>
      </w:r>
      <w:r>
        <w:rPr>
          <w:sz w:val="26"/>
          <w:szCs w:val="26"/>
        </w:rPr>
        <w:t xml:space="preserve">35 201 190,00</w:t>
      </w:r>
      <w:r>
        <w:rPr>
          <w:sz w:val="26"/>
          <w:szCs w:val="26"/>
        </w:rPr>
        <w:t xml:space="preserve"> руб., фактически поступило доходов </w:t>
      </w:r>
      <w:r>
        <w:rPr>
          <w:sz w:val="26"/>
          <w:szCs w:val="26"/>
        </w:rPr>
        <w:t xml:space="preserve">42 105 909,31</w:t>
      </w:r>
      <w:r>
        <w:rPr>
          <w:sz w:val="26"/>
          <w:szCs w:val="26"/>
        </w:rPr>
        <w:t xml:space="preserve"> руб.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Фактическое поступление доходов в бюджет района </w:t>
      </w:r>
      <w:r>
        <w:rPr>
          <w:sz w:val="26"/>
          <w:szCs w:val="26"/>
        </w:rPr>
        <w:t xml:space="preserve">выше</w:t>
      </w:r>
      <w:r>
        <w:rPr>
          <w:sz w:val="26"/>
          <w:szCs w:val="26"/>
        </w:rPr>
        <w:t xml:space="preserve"> утвержденной</w:t>
      </w:r>
      <w:r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ой </w:t>
      </w:r>
      <w:r>
        <w:rPr>
          <w:sz w:val="26"/>
          <w:szCs w:val="26"/>
        </w:rPr>
        <w:t xml:space="preserve">роспис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по отдельным видам доходов.  </w:t>
      </w:r>
      <w:r>
        <w:rPr>
          <w:sz w:val="26"/>
          <w:szCs w:val="26"/>
        </w:rPr>
        <w:t xml:space="preserve">Бюджетная роспись</w:t>
      </w:r>
      <w:r>
        <w:rPr>
          <w:sz w:val="26"/>
          <w:szCs w:val="26"/>
        </w:rPr>
        <w:t xml:space="preserve"> планировалась исходя из утвержденных годовых назначений и анализа динамики поступления доходов в предыдущие отчетные периоды.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еревыполнение плановых назначений отмечено по следующим доходным источникам:</w:t>
      </w:r>
      <w:r>
        <w:rPr>
          <w:sz w:val="26"/>
          <w:szCs w:val="26"/>
        </w:rPr>
        <w:t xml:space="preserve"> НДФЛ – 110,7%;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УСН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108,4</w:t>
      </w:r>
      <w:r>
        <w:rPr>
          <w:sz w:val="26"/>
          <w:szCs w:val="26"/>
        </w:rPr>
        <w:t xml:space="preserve">%; </w:t>
      </w:r>
      <w:r>
        <w:rPr>
          <w:sz w:val="26"/>
          <w:szCs w:val="26"/>
        </w:rPr>
        <w:t xml:space="preserve">ЕСХН – 1</w:t>
      </w:r>
      <w:r>
        <w:rPr>
          <w:sz w:val="26"/>
          <w:szCs w:val="26"/>
        </w:rPr>
        <w:t xml:space="preserve">72,6</w:t>
      </w:r>
      <w:r>
        <w:rPr>
          <w:sz w:val="26"/>
          <w:szCs w:val="26"/>
        </w:rPr>
        <w:t xml:space="preserve">%;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ПСНО более чем в семь раз; транспортный налог – 172,0%; </w:t>
      </w:r>
      <w:r>
        <w:rPr>
          <w:sz w:val="26"/>
          <w:szCs w:val="26"/>
        </w:rPr>
        <w:t xml:space="preserve">государственной пошлине </w:t>
      </w:r>
      <w:r>
        <w:rPr>
          <w:sz w:val="26"/>
          <w:szCs w:val="26"/>
        </w:rPr>
        <w:t xml:space="preserve">более чем в два раза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плата за негативное воздействие на окружающую среду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145,9</w:t>
      </w:r>
      <w:r>
        <w:rPr>
          <w:sz w:val="26"/>
          <w:szCs w:val="26"/>
        </w:rPr>
        <w:t xml:space="preserve">%;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штрафным санкциям </w:t>
      </w:r>
      <w:r>
        <w:rPr>
          <w:sz w:val="26"/>
          <w:szCs w:val="26"/>
        </w:rPr>
        <w:t xml:space="preserve">более чем в шесть раз.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Низкий процент исполнения бюджетной росписи отмечен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налоговым доходам: </w:t>
      </w:r>
      <w:r>
        <w:rPr>
          <w:sz w:val="26"/>
          <w:szCs w:val="26"/>
        </w:rPr>
        <w:t xml:space="preserve">акцизам на нефтепродукты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%; </w:t>
      </w:r>
      <w:r>
        <w:rPr>
          <w:sz w:val="26"/>
          <w:szCs w:val="26"/>
        </w:rPr>
        <w:t xml:space="preserve">доходам от использования имущества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22,4</w:t>
      </w:r>
      <w:r>
        <w:rPr>
          <w:sz w:val="26"/>
          <w:szCs w:val="26"/>
        </w:rPr>
        <w:t xml:space="preserve">%; </w:t>
      </w:r>
      <w:r>
        <w:rPr>
          <w:sz w:val="26"/>
          <w:szCs w:val="26"/>
        </w:rPr>
        <w:t xml:space="preserve">доходам от оказания платных услуг и компенсации </w:t>
      </w:r>
      <w:r>
        <w:rPr>
          <w:sz w:val="26"/>
          <w:szCs w:val="26"/>
        </w:rPr>
        <w:t xml:space="preserve">затрат -</w:t>
      </w:r>
      <w:r>
        <w:rPr>
          <w:sz w:val="26"/>
          <w:szCs w:val="26"/>
        </w:rPr>
        <w:t xml:space="preserve"> 92,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%; доходам от продажи – </w:t>
      </w:r>
      <w:r>
        <w:rPr>
          <w:sz w:val="26"/>
          <w:szCs w:val="26"/>
        </w:rPr>
        <w:t xml:space="preserve">1,1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Безвозмездных поступлений </w:t>
      </w:r>
      <w:r>
        <w:rPr>
          <w:sz w:val="26"/>
          <w:szCs w:val="26"/>
        </w:rPr>
        <w:t xml:space="preserve">из областного бюджета поступило </w:t>
      </w:r>
      <w:r>
        <w:rPr>
          <w:sz w:val="26"/>
          <w:szCs w:val="26"/>
        </w:rPr>
        <w:t xml:space="preserve">307 763 871,63</w:t>
      </w:r>
      <w:r>
        <w:rPr>
          <w:sz w:val="26"/>
          <w:szCs w:val="26"/>
        </w:rPr>
        <w:t xml:space="preserve"> руб., что составило </w:t>
      </w:r>
      <w:r>
        <w:rPr>
          <w:sz w:val="26"/>
          <w:szCs w:val="26"/>
        </w:rPr>
        <w:t xml:space="preserve">95,4</w:t>
      </w:r>
      <w:r>
        <w:rPr>
          <w:sz w:val="26"/>
          <w:szCs w:val="26"/>
        </w:rPr>
        <w:t xml:space="preserve">% от утвержденной квартальной бюджетной росписи. За отчетный период поступили следующие виды межбюджетных трансфертов:</w:t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дотации </w:t>
      </w:r>
      <w:r>
        <w:rPr>
          <w:sz w:val="26"/>
          <w:szCs w:val="26"/>
        </w:rPr>
        <w:t xml:space="preserve">14 280 900,00</w:t>
      </w:r>
      <w:r>
        <w:rPr>
          <w:sz w:val="26"/>
          <w:szCs w:val="26"/>
        </w:rPr>
        <w:t xml:space="preserve"> руб. что составляет 100,0% от запланированной суммы;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субсидии </w:t>
      </w:r>
      <w:r>
        <w:rPr>
          <w:sz w:val="26"/>
          <w:szCs w:val="26"/>
        </w:rPr>
        <w:t xml:space="preserve">150 679 396,80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94,6</w:t>
      </w:r>
      <w:r>
        <w:rPr>
          <w:sz w:val="26"/>
          <w:szCs w:val="26"/>
        </w:rPr>
        <w:t xml:space="preserve">%;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субвенции </w:t>
      </w:r>
      <w:r>
        <w:rPr>
          <w:sz w:val="26"/>
          <w:szCs w:val="26"/>
        </w:rPr>
        <w:t xml:space="preserve">129 596 112,50</w:t>
      </w:r>
      <w:r>
        <w:rPr>
          <w:sz w:val="26"/>
          <w:szCs w:val="26"/>
        </w:rPr>
        <w:t xml:space="preserve"> руб. – </w:t>
      </w:r>
      <w:r>
        <w:rPr>
          <w:sz w:val="26"/>
          <w:szCs w:val="26"/>
        </w:rPr>
        <w:t xml:space="preserve">96,7</w:t>
      </w:r>
      <w:r>
        <w:rPr>
          <w:sz w:val="26"/>
          <w:szCs w:val="26"/>
        </w:rPr>
        <w:t xml:space="preserve">%;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межбюджетные трансферты </w:t>
      </w:r>
      <w:r>
        <w:rPr>
          <w:sz w:val="26"/>
          <w:szCs w:val="26"/>
        </w:rPr>
        <w:t xml:space="preserve">13 207 462,33</w:t>
      </w:r>
      <w:r>
        <w:rPr>
          <w:sz w:val="26"/>
          <w:szCs w:val="26"/>
        </w:rPr>
        <w:t xml:space="preserve"> руб. – </w:t>
      </w:r>
      <w:r>
        <w:rPr>
          <w:sz w:val="26"/>
          <w:szCs w:val="26"/>
        </w:rPr>
        <w:t xml:space="preserve">88,2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Межбюджетные трансферты поступают в бюджет района в соответствии с бюджетной росписью главных распорядителей средств </w:t>
      </w:r>
      <w:r>
        <w:rPr>
          <w:sz w:val="26"/>
          <w:szCs w:val="26"/>
        </w:rPr>
        <w:t xml:space="preserve"> областного бюдже</w:t>
      </w:r>
      <w:r>
        <w:rPr>
          <w:sz w:val="26"/>
          <w:szCs w:val="26"/>
        </w:rPr>
        <w:t xml:space="preserve">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Расходы бюджета Доволенского района</w:t>
      </w:r>
      <w:r>
        <w:rPr>
          <w:b/>
          <w:sz w:val="26"/>
          <w:szCs w:val="26"/>
        </w:rPr>
        <w:t xml:space="preserve"> Новосибирской области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Бюджет Доволенского района </w:t>
      </w:r>
      <w:r>
        <w:rPr>
          <w:sz w:val="26"/>
          <w:szCs w:val="26"/>
        </w:rPr>
        <w:t xml:space="preserve">Новосибирской области </w:t>
      </w:r>
      <w:r>
        <w:rPr>
          <w:sz w:val="26"/>
          <w:szCs w:val="26"/>
        </w:rPr>
        <w:t xml:space="preserve">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 по расходам утвержден в размере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 792 286 790,86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 против </w:t>
      </w:r>
      <w:r>
        <w:rPr>
          <w:sz w:val="26"/>
          <w:szCs w:val="26"/>
        </w:rPr>
        <w:t xml:space="preserve">1 540 543 209,22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по состоянию на 01.</w:t>
      </w:r>
      <w:r>
        <w:rPr>
          <w:sz w:val="26"/>
          <w:szCs w:val="26"/>
        </w:rPr>
        <w:t xml:space="preserve">04.2024 г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Увеличен</w:t>
      </w:r>
      <w:r>
        <w:rPr>
          <w:sz w:val="26"/>
          <w:szCs w:val="26"/>
        </w:rPr>
        <w:t xml:space="preserve">ие к аналог</w:t>
      </w:r>
      <w:r>
        <w:rPr>
          <w:sz w:val="26"/>
          <w:szCs w:val="26"/>
        </w:rPr>
        <w:t xml:space="preserve">ичному периоду прошлого года  </w:t>
      </w:r>
      <w:r>
        <w:rPr>
          <w:sz w:val="26"/>
          <w:szCs w:val="26"/>
        </w:rPr>
        <w:t xml:space="preserve">16</w:t>
      </w:r>
      <w:r>
        <w:rPr>
          <w:sz w:val="26"/>
          <w:szCs w:val="26"/>
        </w:rPr>
        <w:t xml:space="preserve">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%.  Кассовые расходы за </w:t>
      </w:r>
      <w:r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г составили 302 905 766,49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что на 618 336.09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>
        <w:rPr>
          <w:sz w:val="26"/>
          <w:szCs w:val="26"/>
        </w:rPr>
        <w:t xml:space="preserve">меньше  </w:t>
      </w:r>
      <w:r>
        <w:rPr>
          <w:sz w:val="26"/>
          <w:szCs w:val="26"/>
        </w:rPr>
        <w:t xml:space="preserve">уровня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года.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Бюджет района по расходам за отчетный период исполнен на  </w:t>
      </w:r>
      <w:r>
        <w:rPr>
          <w:sz w:val="26"/>
          <w:szCs w:val="26"/>
        </w:rPr>
        <w:t xml:space="preserve">16.9</w:t>
      </w:r>
      <w:r>
        <w:rPr>
          <w:sz w:val="26"/>
          <w:szCs w:val="26"/>
        </w:rPr>
        <w:t xml:space="preserve">%.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Структура расходов бюджета района сложилась следующим образом: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748"/>
        <w:gridCol w:w="1612"/>
        <w:gridCol w:w="1284"/>
        <w:gridCol w:w="1628"/>
        <w:gridCol w:w="1475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раздела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ыс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руб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исполнения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Удельный вес в расходах, %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Справочно: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год, </w:t>
            </w:r>
            <w:r>
              <w:rPr>
                <w:sz w:val="26"/>
                <w:szCs w:val="26"/>
              </w:rPr>
              <w:t xml:space="preserve">тыс. </w:t>
            </w:r>
            <w:r>
              <w:rPr>
                <w:sz w:val="26"/>
                <w:szCs w:val="26"/>
              </w:rPr>
              <w:t xml:space="preserve">руб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Общегосударственные вопросы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176 365,9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40 587,1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31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505,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Национальная оборона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2879,1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719,8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603,3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Национальная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10864,2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2176,9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2276,4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Национальная экономика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51181,2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5642,4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3608,7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Жилищно-коммунальное хозяйство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157 642,6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17963,1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36 076,2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969 230,4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163 130,7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14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684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97 807,6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24 023,4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19,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12 369,5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политика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109 096,1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21077,0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27 983,6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и спорт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23 439,6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4831,8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3918,7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93 780,1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22753,4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24,3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41 361,2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8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1 792 286,8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302 905,8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16,9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303 387,4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Наиболь</w:t>
      </w:r>
      <w:r>
        <w:rPr>
          <w:sz w:val="26"/>
          <w:szCs w:val="26"/>
        </w:rPr>
        <w:t xml:space="preserve">ший удельный вес в общих расходах бюджета района составляют расходы на образование –</w:t>
      </w:r>
      <w:r>
        <w:rPr>
          <w:sz w:val="26"/>
          <w:szCs w:val="26"/>
        </w:rPr>
        <w:t xml:space="preserve"> 53,9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%; </w:t>
      </w:r>
      <w:r>
        <w:rPr>
          <w:sz w:val="26"/>
          <w:szCs w:val="26"/>
        </w:rPr>
        <w:t xml:space="preserve">общегосударственные вопросы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13,4</w:t>
      </w:r>
      <w:r>
        <w:rPr>
          <w:sz w:val="26"/>
          <w:szCs w:val="26"/>
        </w:rPr>
        <w:t xml:space="preserve">%;</w:t>
      </w:r>
      <w:r>
        <w:rPr>
          <w:sz w:val="26"/>
          <w:szCs w:val="26"/>
        </w:rPr>
        <w:t xml:space="preserve"> культуру -7,9%, </w:t>
      </w:r>
      <w:r>
        <w:rPr>
          <w:sz w:val="26"/>
          <w:szCs w:val="26"/>
        </w:rPr>
        <w:t xml:space="preserve">межбюджетные трансферты – </w:t>
      </w:r>
      <w:r>
        <w:rPr>
          <w:sz w:val="26"/>
          <w:szCs w:val="26"/>
        </w:rPr>
        <w:t xml:space="preserve">7,5</w:t>
      </w:r>
      <w:r>
        <w:rPr>
          <w:sz w:val="26"/>
          <w:szCs w:val="26"/>
        </w:rPr>
        <w:t xml:space="preserve">%; </w:t>
      </w:r>
      <w:r>
        <w:rPr>
          <w:sz w:val="26"/>
          <w:szCs w:val="26"/>
        </w:rPr>
        <w:t xml:space="preserve">социальную политику –</w:t>
      </w:r>
      <w:r>
        <w:rPr>
          <w:sz w:val="26"/>
          <w:szCs w:val="26"/>
        </w:rPr>
        <w:t xml:space="preserve">7,0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Экономическая структура расходов бюджета за отчетный период выглядит следующим образом: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оплата труда с начислениями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58,8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перечисления другим бюджетам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8,6</w:t>
      </w:r>
      <w:r>
        <w:rPr>
          <w:sz w:val="26"/>
          <w:szCs w:val="26"/>
        </w:rPr>
        <w:t xml:space="preserve"> %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коммунальные услуги – </w:t>
      </w:r>
      <w:r>
        <w:rPr>
          <w:sz w:val="26"/>
          <w:szCs w:val="26"/>
        </w:rPr>
        <w:t xml:space="preserve">7,8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перечисления организациям – </w:t>
      </w:r>
      <w:r>
        <w:rPr>
          <w:sz w:val="26"/>
          <w:szCs w:val="26"/>
        </w:rPr>
        <w:t xml:space="preserve">4,8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перечисления бюджетным учреждениям -</w:t>
      </w:r>
      <w:r>
        <w:rPr>
          <w:sz w:val="26"/>
          <w:szCs w:val="26"/>
        </w:rPr>
        <w:t xml:space="preserve">6,7</w:t>
      </w:r>
      <w:r>
        <w:rPr>
          <w:sz w:val="26"/>
          <w:szCs w:val="26"/>
        </w:rPr>
        <w:t xml:space="preserve">%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приобретение материальных запасов – </w:t>
      </w:r>
      <w:r>
        <w:rPr>
          <w:sz w:val="26"/>
          <w:szCs w:val="26"/>
        </w:rPr>
        <w:t xml:space="preserve">4,3</w:t>
      </w:r>
      <w:r>
        <w:rPr>
          <w:sz w:val="26"/>
          <w:szCs w:val="26"/>
        </w:rPr>
        <w:t xml:space="preserve"> 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приобретение основных средств – </w:t>
      </w:r>
      <w:r>
        <w:rPr>
          <w:sz w:val="26"/>
          <w:szCs w:val="26"/>
        </w:rPr>
        <w:t xml:space="preserve">2,7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прочие </w:t>
      </w:r>
      <w:r>
        <w:rPr>
          <w:sz w:val="26"/>
          <w:szCs w:val="26"/>
        </w:rPr>
        <w:t xml:space="preserve">работы и услуги – </w:t>
      </w:r>
      <w:r>
        <w:rPr>
          <w:sz w:val="26"/>
          <w:szCs w:val="26"/>
        </w:rPr>
        <w:t xml:space="preserve">2,4</w:t>
      </w:r>
      <w:r>
        <w:rPr>
          <w:sz w:val="26"/>
          <w:szCs w:val="26"/>
        </w:rPr>
        <w:t xml:space="preserve">%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пособия по социальной помощи населению – 0,9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работы по содержанию имущества – 0,7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налоги, сборы – 0,6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прочие расходы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1,7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Расходы на оплату труда с начислениями работников бюджетной сферы за 1</w:t>
      </w:r>
      <w:r>
        <w:rPr>
          <w:sz w:val="26"/>
          <w:szCs w:val="26"/>
        </w:rPr>
        <w:t xml:space="preserve"> квартал 2025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составили  178 042 352,81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на оплату коммунальных услуг </w:t>
      </w:r>
      <w:r>
        <w:rPr>
          <w:sz w:val="26"/>
          <w:szCs w:val="26"/>
        </w:rPr>
        <w:t xml:space="preserve">23 722 878,57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уб., </w:t>
      </w:r>
      <w:r>
        <w:rPr>
          <w:sz w:val="26"/>
          <w:szCs w:val="26"/>
        </w:rPr>
        <w:t xml:space="preserve">приобретение основных средств 8 075 501,07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материальных запасов 12 949 187,26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В отчетном периоде обеспечены финансированием все текущие расходы учреждений бюджетной сферы  района.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бюджетной росписи по расходам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Утвержденный</w:t>
      </w:r>
      <w:r>
        <w:rPr>
          <w:sz w:val="26"/>
          <w:szCs w:val="26"/>
        </w:rPr>
        <w:t xml:space="preserve"> план бюджетной росписи по расходам за 1 квартал 2025 </w:t>
      </w:r>
      <w:r>
        <w:rPr>
          <w:sz w:val="26"/>
          <w:szCs w:val="26"/>
        </w:rPr>
        <w:t xml:space="preserve">г в сумме 410 873 648,85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выполнен на 73,7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раздел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 0102</w:t>
      </w:r>
      <w:r>
        <w:rPr>
          <w:sz w:val="26"/>
          <w:szCs w:val="26"/>
        </w:rPr>
        <w:t xml:space="preserve"> «Функционирование высшего должностного лица субъекта РФ и муниципального образования»</w:t>
      </w:r>
      <w:r>
        <w:rPr>
          <w:sz w:val="26"/>
          <w:szCs w:val="26"/>
        </w:rPr>
        <w:t xml:space="preserve"> расходы исполнены на 89,6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составили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1 164 394,32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</w:t>
      </w:r>
      <w:r>
        <w:rPr>
          <w:sz w:val="26"/>
          <w:szCs w:val="26"/>
        </w:rPr>
        <w:t xml:space="preserve">о подразделу 0103 «Функционирование законодательных  (представительных) органов государственной власти и представительных органов муниципальных образований» плановые назначения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1 480 000,00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исполнены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85,3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или 1 262 497,14 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фактической потребностью.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сполнени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расходов п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подразделу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sz w:val="26"/>
          <w:szCs w:val="26"/>
        </w:rPr>
        <w:t xml:space="preserve"> состав</w:t>
      </w:r>
      <w:r>
        <w:rPr>
          <w:sz w:val="26"/>
          <w:szCs w:val="26"/>
        </w:rPr>
        <w:t xml:space="preserve">ил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85,2</w:t>
      </w:r>
      <w:r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11 673 026,24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Кассовые выплаты </w:t>
      </w:r>
      <w:r>
        <w:rPr>
          <w:sz w:val="26"/>
          <w:szCs w:val="26"/>
        </w:rPr>
        <w:t xml:space="preserve">осуществлялись в соответствии с потребностью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назначения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 подразделу 0105 «Судебная система» в сумме 7810,60 руб.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 xml:space="preserve">исполнен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 пр причине отсутствия</w:t>
      </w:r>
      <w:r>
        <w:rPr>
          <w:sz w:val="26"/>
          <w:szCs w:val="26"/>
        </w:rPr>
        <w:t xml:space="preserve"> заключенных контрактов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По п</w:t>
      </w:r>
      <w:r>
        <w:rPr>
          <w:sz w:val="26"/>
          <w:szCs w:val="26"/>
        </w:rPr>
        <w:t xml:space="preserve">од</w:t>
      </w:r>
      <w:r>
        <w:rPr>
          <w:sz w:val="26"/>
          <w:szCs w:val="26"/>
        </w:rPr>
        <w:t xml:space="preserve">раздел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010</w:t>
      </w:r>
      <w:r>
        <w:rPr>
          <w:sz w:val="26"/>
          <w:szCs w:val="26"/>
        </w:rPr>
        <w:t xml:space="preserve">6 «Обеспечение деятельности финансовых, налоговых органов и органов финансового (финансово-бюджетного) надзора»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ассигнования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892 722,00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>
        <w:rPr>
          <w:sz w:val="26"/>
          <w:szCs w:val="26"/>
        </w:rPr>
        <w:t xml:space="preserve">исполнены на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83,3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818 809,14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       По подразделу 0107 «Обеспечение проведения выборов и референдумов» плановые назначения в отчетном периоде не предусмотрены.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разделу 011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«Другие общегосударственные вопросы»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исполнены на </w:t>
      </w:r>
      <w:r>
        <w:rPr>
          <w:sz w:val="26"/>
          <w:szCs w:val="26"/>
        </w:rPr>
        <w:t xml:space="preserve">76,1</w:t>
      </w:r>
      <w:r>
        <w:rPr>
          <w:sz w:val="26"/>
          <w:szCs w:val="26"/>
        </w:rPr>
        <w:t xml:space="preserve">% и составили 25 668 371,59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отчетном периоде </w:t>
      </w: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 оценку недвижимости, признание прав и регулирование отношений по муниципальной собственности израсходовано </w:t>
      </w:r>
      <w:r>
        <w:rPr>
          <w:sz w:val="26"/>
          <w:szCs w:val="26"/>
        </w:rPr>
        <w:t xml:space="preserve">3000,00</w:t>
      </w:r>
      <w:r>
        <w:rPr>
          <w:sz w:val="26"/>
          <w:szCs w:val="26"/>
        </w:rPr>
        <w:t xml:space="preserve"> руб.,  на </w:t>
      </w:r>
      <w:r>
        <w:rPr>
          <w:sz w:val="26"/>
          <w:szCs w:val="26"/>
        </w:rPr>
        <w:t xml:space="preserve">выплаты по обязательствам муниципальных 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484 003,91</w:t>
      </w:r>
      <w:r>
        <w:rPr>
          <w:sz w:val="26"/>
          <w:szCs w:val="26"/>
        </w:rPr>
        <w:t xml:space="preserve"> руб. Расходы о</w:t>
      </w:r>
      <w:r>
        <w:rPr>
          <w:sz w:val="26"/>
          <w:szCs w:val="26"/>
        </w:rPr>
        <w:t xml:space="preserve">существлялись в соответствии с фактической потребностью.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Не </w:t>
      </w:r>
      <w:r>
        <w:rPr>
          <w:sz w:val="26"/>
          <w:szCs w:val="26"/>
        </w:rPr>
        <w:t xml:space="preserve">исполнены п</w:t>
      </w:r>
      <w:r>
        <w:rPr>
          <w:sz w:val="26"/>
          <w:szCs w:val="26"/>
        </w:rPr>
        <w:t xml:space="preserve">лановые назначения </w:t>
      </w:r>
      <w:r>
        <w:rPr>
          <w:sz w:val="26"/>
          <w:szCs w:val="26"/>
        </w:rPr>
        <w:t xml:space="preserve">по реализации территориального общественного самоуправления в сумме </w:t>
      </w:r>
      <w:r>
        <w:rPr>
          <w:sz w:val="26"/>
          <w:szCs w:val="26"/>
        </w:rPr>
        <w:t xml:space="preserve">1  304 449</w:t>
      </w:r>
      <w:r>
        <w:rPr>
          <w:sz w:val="26"/>
          <w:szCs w:val="26"/>
        </w:rPr>
        <w:t xml:space="preserve">,00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отсутствием итогов конкурса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обеспечение 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МКУ «Центр бухгалтерского</w:t>
      </w:r>
      <w:r>
        <w:rPr>
          <w:sz w:val="26"/>
          <w:szCs w:val="26"/>
        </w:rPr>
        <w:t xml:space="preserve"> </w:t>
      </w:r>
      <w:bookmarkStart w:id="0" w:name="_Hlk166573552"/>
      <w:r>
        <w:rPr>
          <w:sz w:val="26"/>
          <w:szCs w:val="26"/>
        </w:rPr>
        <w:t xml:space="preserve">учета» и </w:t>
      </w:r>
      <w:r>
        <w:rPr>
          <w:sz w:val="26"/>
          <w:szCs w:val="26"/>
        </w:rPr>
        <w:t xml:space="preserve">МКУ «Центр материально-технического</w:t>
      </w:r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информационного обеспечения Доволенского района»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израсходовано</w:t>
      </w:r>
      <w:r>
        <w:rPr>
          <w:sz w:val="26"/>
          <w:szCs w:val="26"/>
        </w:rPr>
        <w:t xml:space="preserve"> средств местного бюджета 8 436 569,95</w:t>
      </w:r>
      <w:r>
        <w:rPr>
          <w:sz w:val="26"/>
          <w:szCs w:val="26"/>
        </w:rPr>
        <w:t xml:space="preserve"> руб. и субсидии на обеспечение сбалансированности местных бюджетов в рамках государственной программы Новосибирской области «Управление финансами в Новосибирской области» 16 721 667,73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текущем году осуществлялись выплаты студентам, обучающимся по договорам целевого обучения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23 130</w:t>
      </w:r>
      <w:r>
        <w:rPr>
          <w:sz w:val="26"/>
          <w:szCs w:val="26"/>
        </w:rPr>
        <w:t xml:space="preserve">,00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Плановые назначения по п</w:t>
      </w:r>
      <w:r>
        <w:rPr>
          <w:sz w:val="26"/>
          <w:szCs w:val="26"/>
        </w:rPr>
        <w:t xml:space="preserve">одр</w:t>
      </w:r>
      <w:r>
        <w:rPr>
          <w:sz w:val="26"/>
          <w:szCs w:val="26"/>
        </w:rPr>
        <w:t xml:space="preserve">аздел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0203 «Мобилизационная и вневойсковая подготовка»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сумме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719 800,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исполнены на </w:t>
      </w:r>
      <w:r>
        <w:rPr>
          <w:sz w:val="26"/>
          <w:szCs w:val="26"/>
        </w:rPr>
        <w:t xml:space="preserve">100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Денежные средства </w:t>
      </w:r>
      <w:r>
        <w:rPr>
          <w:sz w:val="26"/>
          <w:szCs w:val="26"/>
        </w:rPr>
        <w:t xml:space="preserve">перечислены в бюджеты поселений на осуществление первичного воинского учета.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Расходы </w:t>
      </w:r>
      <w:r>
        <w:rPr>
          <w:sz w:val="26"/>
          <w:szCs w:val="26"/>
        </w:rPr>
        <w:t xml:space="preserve"> по подразделу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0</w:t>
      </w: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  <w:highlight w:val="none"/>
        </w:rPr>
        <w:t xml:space="preserve">10</w:t>
      </w:r>
      <w:r>
        <w:rPr>
          <w:sz w:val="26"/>
          <w:szCs w:val="26"/>
          <w:highlight w:val="none"/>
        </w:rPr>
        <w:t xml:space="preserve"> «</w:t>
      </w:r>
      <w:r>
        <w:rPr>
          <w:sz w:val="26"/>
          <w:szCs w:val="26"/>
          <w:highlight w:val="none"/>
        </w:rPr>
        <w:t xml:space="preserve">За</w:t>
      </w:r>
      <w:r>
        <w:rPr>
          <w:sz w:val="26"/>
          <w:szCs w:val="26"/>
        </w:rPr>
        <w:t xml:space="preserve">щита населения и территории от чрезвычайных ситуаций природного и техногенного характера, </w:t>
      </w:r>
      <w:r>
        <w:rPr>
          <w:sz w:val="26"/>
          <w:szCs w:val="26"/>
        </w:rPr>
        <w:t xml:space="preserve">пожарная безопасность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осуществлялись</w:t>
      </w: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обеспечение деятельности учреждения «Центр по ГО,ЧС, ЕДДС 112»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80 138,42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средств местного бюджета и </w:t>
      </w:r>
      <w:r>
        <w:rPr>
          <w:sz w:val="26"/>
          <w:szCs w:val="26"/>
        </w:rPr>
        <w:t xml:space="preserve">2 006 341,66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субсидии на обеспечение сбалансированности местных бюджетов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муниципальной программы «Снижение рисков и смягчение последствий чрезвычайных ситуаций природного и техногенного характера в </w:t>
      </w:r>
      <w:r>
        <w:rPr>
          <w:sz w:val="26"/>
          <w:szCs w:val="26"/>
        </w:rPr>
        <w:t xml:space="preserve">Доволенско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на предупреждение и ликвидацию последствий чрезвычайных ситуаций и стихийных бедствий природного и техногенного характера</w:t>
      </w:r>
      <w:r>
        <w:rPr>
          <w:sz w:val="26"/>
          <w:szCs w:val="26"/>
        </w:rPr>
        <w:t xml:space="preserve">, а также  мероприятия по обеспечению пожарной безопасности </w:t>
      </w:r>
      <w:r>
        <w:rPr>
          <w:sz w:val="26"/>
          <w:szCs w:val="26"/>
        </w:rPr>
        <w:t xml:space="preserve">израсходовано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90 424,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по подразделу 0310 исполнены на 85</w:t>
      </w:r>
      <w:r>
        <w:rPr>
          <w:sz w:val="26"/>
          <w:szCs w:val="26"/>
        </w:rPr>
        <w:t xml:space="preserve">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в соответствии с фактической потребностью.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Бюджетные назначения по подраздел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0314 «Другие вопросы в области национальной безопасности и правоохранительной деятельности» и  </w:t>
      </w:r>
      <w:r>
        <w:rPr>
          <w:sz w:val="26"/>
          <w:szCs w:val="26"/>
        </w:rPr>
        <w:t xml:space="preserve">0405 «Сельское хозяйство и рыболовство»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отчетном периоде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 предусмотрены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По подразделу 0408 «Транспорт» пла</w:t>
      </w:r>
      <w:r>
        <w:rPr>
          <w:sz w:val="26"/>
          <w:szCs w:val="26"/>
        </w:rPr>
        <w:t xml:space="preserve">новые назначения в сумме 3 566 581,51</w:t>
      </w:r>
      <w:r>
        <w:rPr>
          <w:sz w:val="26"/>
          <w:szCs w:val="26"/>
        </w:rPr>
        <w:t xml:space="preserve"> руб. исполнены</w:t>
      </w:r>
      <w:r>
        <w:rPr>
          <w:sz w:val="26"/>
          <w:szCs w:val="26"/>
        </w:rPr>
        <w:t xml:space="preserve"> на 77,5</w:t>
      </w:r>
      <w:r>
        <w:rPr>
          <w:sz w:val="26"/>
          <w:szCs w:val="26"/>
        </w:rPr>
        <w:t xml:space="preserve">% или 2 765 372,87</w:t>
      </w:r>
      <w:r>
        <w:rPr>
          <w:sz w:val="26"/>
          <w:szCs w:val="26"/>
        </w:rPr>
        <w:t xml:space="preserve"> руб., о</w:t>
      </w:r>
      <w:r>
        <w:rPr>
          <w:sz w:val="26"/>
          <w:szCs w:val="26"/>
        </w:rPr>
        <w:t xml:space="preserve">плачены услуги</w:t>
      </w:r>
      <w:r>
        <w:rPr>
          <w:sz w:val="26"/>
          <w:szCs w:val="26"/>
        </w:rPr>
        <w:t xml:space="preserve">, связанные с осуществлением регулярных пассажирских перевозок по регулируемым тарифам на территории Доволенского района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Расходы на дорожное хозяйство исполнены на </w:t>
      </w:r>
      <w:r>
        <w:rPr>
          <w:sz w:val="26"/>
          <w:szCs w:val="26"/>
        </w:rPr>
        <w:t xml:space="preserve">50,4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Расходы на дорожную </w:t>
      </w:r>
      <w:r>
        <w:rPr>
          <w:sz w:val="26"/>
          <w:szCs w:val="26"/>
        </w:rPr>
        <w:t xml:space="preserve">деятельность в отношении автомобильных дорог общего пользования местного значения за счет средств районного бюджета составили </w:t>
      </w:r>
      <w:r>
        <w:rPr>
          <w:sz w:val="26"/>
          <w:szCs w:val="26"/>
        </w:rPr>
        <w:t xml:space="preserve">400 000,00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оплачены работы по содержанию автомобильных дорог. Субсидия из областного бюджета на обеспечение устойчивого функционирования автомобильных дорог перечислена в бюджет Суздальского сельсовета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2 477 025,97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«Положения о муниципальном дорожном фонде Доволенского района Новосибирской области», </w:t>
      </w:r>
      <w:r>
        <w:rPr>
          <w:sz w:val="26"/>
          <w:szCs w:val="26"/>
        </w:rPr>
        <w:t xml:space="preserve">утвержденного решением Совета д</w:t>
      </w:r>
      <w:r>
        <w:rPr>
          <w:sz w:val="26"/>
          <w:szCs w:val="26"/>
        </w:rPr>
        <w:t xml:space="preserve">епутатов Доволенского района Новосибирской области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22.08.2024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315</w:t>
      </w:r>
      <w:r>
        <w:rPr>
          <w:sz w:val="26"/>
          <w:szCs w:val="26"/>
        </w:rPr>
        <w:t xml:space="preserve"> бюджетные ассигнования дорожного фонда, не использованные в текущем финансовом году направляются на увеличение бюджетных ассигнований дорожного фонда в очередном финансовом году. Остаток</w:t>
      </w:r>
      <w:r>
        <w:rPr>
          <w:sz w:val="26"/>
          <w:szCs w:val="26"/>
        </w:rPr>
        <w:t xml:space="preserve"> средств муниципального дорожного фонда сформированного </w:t>
      </w:r>
      <w:r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 xml:space="preserve">доход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от акцизов на </w:t>
      </w:r>
      <w:r>
        <w:rPr>
          <w:sz w:val="26"/>
          <w:szCs w:val="26"/>
        </w:rPr>
        <w:t xml:space="preserve">нефтепродукты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транспортного налога</w:t>
      </w:r>
      <w:r>
        <w:rPr>
          <w:sz w:val="26"/>
          <w:szCs w:val="26"/>
        </w:rPr>
        <w:t xml:space="preserve"> и других собственных доходов местного 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начала года направлен</w:t>
      </w:r>
      <w:r>
        <w:rPr>
          <w:sz w:val="26"/>
          <w:szCs w:val="26"/>
        </w:rPr>
        <w:t xml:space="preserve"> на увеличение бюджетных ассигнований  муниципального дорожного фонда в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1 910 879,82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разделу</w:t>
      </w:r>
      <w:r>
        <w:rPr>
          <w:sz w:val="26"/>
          <w:szCs w:val="26"/>
        </w:rPr>
        <w:t xml:space="preserve"> 0412</w:t>
      </w:r>
      <w:r>
        <w:rPr>
          <w:sz w:val="26"/>
          <w:szCs w:val="26"/>
        </w:rPr>
        <w:t xml:space="preserve"> «Другие вопросы в области национальной экономики» </w:t>
      </w:r>
      <w:r>
        <w:rPr>
          <w:sz w:val="26"/>
          <w:szCs w:val="26"/>
        </w:rPr>
        <w:t xml:space="preserve">плановые назначения в сумме </w:t>
      </w:r>
      <w:r>
        <w:rPr>
          <w:sz w:val="26"/>
          <w:szCs w:val="26"/>
        </w:rPr>
        <w:t xml:space="preserve">531 086,67</w:t>
      </w:r>
      <w:r>
        <w:rPr>
          <w:sz w:val="26"/>
          <w:szCs w:val="26"/>
        </w:rPr>
        <w:t xml:space="preserve"> руб. не исполнены</w:t>
      </w:r>
      <w:r>
        <w:rPr>
          <w:sz w:val="26"/>
          <w:szCs w:val="26"/>
        </w:rPr>
        <w:t xml:space="preserve"> по причине отсутствия </w:t>
      </w:r>
      <w:r>
        <w:rPr>
          <w:sz w:val="26"/>
          <w:szCs w:val="26"/>
        </w:rPr>
        <w:t xml:space="preserve">результатов конкурса на оказание поддержки субъектов малого и среднего предпринимательства, а также </w:t>
      </w:r>
      <w:r>
        <w:rPr>
          <w:sz w:val="26"/>
          <w:szCs w:val="26"/>
        </w:rPr>
        <w:t xml:space="preserve">расходов по межеванию земельных участков и территориальному планированию.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Плановые </w:t>
      </w:r>
      <w:r>
        <w:rPr>
          <w:sz w:val="26"/>
          <w:szCs w:val="26"/>
        </w:rPr>
        <w:t xml:space="preserve">назначения по</w:t>
      </w:r>
      <w:r>
        <w:rPr>
          <w:sz w:val="26"/>
          <w:szCs w:val="26"/>
        </w:rPr>
        <w:t xml:space="preserve"> подразделу 0501 «Жилищное хозяйство» </w:t>
      </w:r>
      <w:r>
        <w:rPr>
          <w:sz w:val="26"/>
          <w:szCs w:val="26"/>
        </w:rPr>
        <w:t xml:space="preserve">в сумме  </w:t>
      </w:r>
      <w:r>
        <w:rPr>
          <w:sz w:val="26"/>
          <w:szCs w:val="26"/>
        </w:rPr>
        <w:t xml:space="preserve">3 914 224,31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исполнены на </w:t>
      </w:r>
      <w:r>
        <w:rPr>
          <w:sz w:val="26"/>
          <w:szCs w:val="26"/>
        </w:rPr>
        <w:t xml:space="preserve">73,2</w:t>
      </w:r>
      <w:r>
        <w:rPr>
          <w:sz w:val="26"/>
          <w:szCs w:val="26"/>
        </w:rPr>
        <w:t xml:space="preserve">%. Оплачены услуги </w:t>
      </w:r>
      <w:r>
        <w:rPr>
          <w:sz w:val="26"/>
          <w:szCs w:val="26"/>
        </w:rPr>
        <w:t xml:space="preserve">по  объекту «многоквартирный жилой дом»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потребленную эл энергию 209 535,99 руб.,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взносы на капитальный ремонт в Фонд модернизации ЖКХ </w:t>
      </w:r>
      <w:r>
        <w:rPr>
          <w:sz w:val="26"/>
          <w:szCs w:val="26"/>
        </w:rPr>
        <w:t xml:space="preserve">10 977,93</w:t>
      </w:r>
      <w:r>
        <w:rPr>
          <w:sz w:val="26"/>
          <w:szCs w:val="26"/>
        </w:rPr>
        <w:t xml:space="preserve"> руб. Осуществлялись расходы на разработку и экспертизу ПСД на строительство многоквартирного жилого дома в сумме </w:t>
      </w:r>
      <w:r>
        <w:rPr>
          <w:sz w:val="26"/>
          <w:szCs w:val="26"/>
        </w:rPr>
        <w:t xml:space="preserve">2 645 834,91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По</w:t>
      </w:r>
      <w:r>
        <w:rPr>
          <w:sz w:val="26"/>
          <w:szCs w:val="26"/>
          <w:highlight w:val="none"/>
        </w:rPr>
        <w:t xml:space="preserve"> под</w:t>
      </w:r>
      <w:r>
        <w:rPr>
          <w:sz w:val="26"/>
          <w:szCs w:val="26"/>
          <w:highlight w:val="none"/>
        </w:rPr>
        <w:t xml:space="preserve">разделу 0502</w:t>
      </w:r>
      <w:r>
        <w:rPr>
          <w:sz w:val="26"/>
          <w:szCs w:val="26"/>
          <w:highlight w:val="none"/>
        </w:rPr>
        <w:t xml:space="preserve"> «К</w:t>
      </w:r>
      <w:r>
        <w:rPr>
          <w:sz w:val="26"/>
          <w:szCs w:val="26"/>
        </w:rPr>
        <w:t xml:space="preserve">оммунальное</w:t>
      </w:r>
      <w:r>
        <w:rPr>
          <w:sz w:val="26"/>
          <w:szCs w:val="26"/>
        </w:rPr>
        <w:t xml:space="preserve"> хозяйство»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составили 14 789 192,08</w:t>
      </w:r>
      <w:r>
        <w:rPr>
          <w:sz w:val="26"/>
          <w:szCs w:val="26"/>
        </w:rPr>
        <w:t xml:space="preserve"> руб., исполнение </w:t>
      </w:r>
      <w:r>
        <w:rPr>
          <w:sz w:val="26"/>
          <w:szCs w:val="26"/>
        </w:rPr>
        <w:t xml:space="preserve">56,5</w:t>
      </w:r>
      <w:r>
        <w:rPr>
          <w:sz w:val="26"/>
          <w:szCs w:val="26"/>
        </w:rPr>
        <w:t xml:space="preserve">%. В</w:t>
      </w:r>
      <w:r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 xml:space="preserve">оплачены услуги по тех присоединению к электросетям водозаборной скважины и станции водо</w:t>
      </w:r>
      <w:r>
        <w:rPr>
          <w:sz w:val="26"/>
          <w:szCs w:val="26"/>
        </w:rPr>
        <w:t xml:space="preserve">очист</w:t>
      </w:r>
      <w:r>
        <w:rPr>
          <w:sz w:val="26"/>
          <w:szCs w:val="26"/>
        </w:rPr>
        <w:t xml:space="preserve">ки в с.Волчанка </w:t>
      </w:r>
      <w:r>
        <w:rPr>
          <w:sz w:val="26"/>
          <w:szCs w:val="26"/>
        </w:rPr>
        <w:t xml:space="preserve">197 072,16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оплачена электроэнергия 50 000,00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На выполнение расходных обязательств в части снабжения населения топливом израсходовано 1 162 019,52</w:t>
      </w:r>
      <w:r>
        <w:rPr>
          <w:sz w:val="26"/>
          <w:szCs w:val="26"/>
        </w:rPr>
        <w:t xml:space="preserve"> руб., из них средства областного бюджета </w:t>
      </w:r>
      <w:r>
        <w:rPr>
          <w:sz w:val="26"/>
          <w:szCs w:val="26"/>
        </w:rPr>
        <w:t xml:space="preserve">1 149 237,31</w:t>
      </w:r>
      <w:r>
        <w:rPr>
          <w:sz w:val="26"/>
          <w:szCs w:val="26"/>
        </w:rPr>
        <w:t xml:space="preserve"> руб. и софинансирование из местного бюджета </w:t>
      </w:r>
      <w:r>
        <w:rPr>
          <w:sz w:val="26"/>
          <w:szCs w:val="26"/>
        </w:rPr>
        <w:t xml:space="preserve">12 782,21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rFonts w:eastAsia="Calibri"/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Доволенское МУП Теплосеть №1</w:t>
      </w:r>
      <w:r>
        <w:rPr>
          <w:sz w:val="26"/>
          <w:szCs w:val="26"/>
        </w:rPr>
        <w:t xml:space="preserve">» и «Доволенское МУП КХ»</w:t>
      </w:r>
      <w:r>
        <w:rPr>
          <w:sz w:val="26"/>
          <w:szCs w:val="26"/>
        </w:rPr>
        <w:t xml:space="preserve"> перечислена субсидия </w:t>
      </w:r>
      <w:r>
        <w:rPr>
          <w:sz w:val="26"/>
          <w:szCs w:val="26"/>
        </w:rPr>
        <w:t xml:space="preserve">на организацию функционирования систем жизнеобеспечения в сумме </w:t>
      </w:r>
      <w:r>
        <w:rPr>
          <w:sz w:val="26"/>
          <w:szCs w:val="26"/>
        </w:rPr>
        <w:t xml:space="preserve">13 380 100,40 </w:t>
      </w:r>
      <w:r>
        <w:rPr>
          <w:sz w:val="26"/>
          <w:szCs w:val="26"/>
        </w:rPr>
        <w:t xml:space="preserve">руб., в том числе</w:t>
      </w:r>
      <w:r>
        <w:rPr>
          <w:rFonts w:eastAsia="Calibri"/>
          <w:bCs/>
          <w:sz w:val="26"/>
          <w:szCs w:val="26"/>
          <w:lang w:eastAsia="ar-SA"/>
        </w:rPr>
        <w:t xml:space="preserve"> </w:t>
      </w:r>
      <w:r>
        <w:rPr>
          <w:rFonts w:eastAsia="Calibri"/>
          <w:bCs/>
          <w:sz w:val="26"/>
          <w:szCs w:val="26"/>
          <w:lang w:eastAsia="ar-SA"/>
        </w:rPr>
        <w:t xml:space="preserve">за счет субсидии из областного бюджета </w:t>
      </w:r>
      <w:r>
        <w:rPr>
          <w:sz w:val="26"/>
          <w:szCs w:val="26"/>
        </w:rPr>
        <w:t xml:space="preserve">13 232 919,30</w:t>
      </w:r>
      <w:r>
        <w:rPr>
          <w:rFonts w:eastAsia="Calibri"/>
          <w:bCs/>
          <w:sz w:val="26"/>
          <w:szCs w:val="26"/>
          <w:lang w:eastAsia="ar-SA"/>
        </w:rPr>
        <w:t xml:space="preserve"> руб</w:t>
      </w:r>
      <w:r>
        <w:rPr>
          <w:rFonts w:eastAsia="Calibri"/>
          <w:bCs/>
          <w:sz w:val="26"/>
          <w:szCs w:val="26"/>
          <w:lang w:eastAsia="ar-SA"/>
        </w:rPr>
        <w:t xml:space="preserve">.</w:t>
      </w:r>
      <w:r>
        <w:rPr>
          <w:rFonts w:eastAsia="Calibri"/>
          <w:bCs/>
          <w:sz w:val="26"/>
          <w:szCs w:val="26"/>
          <w:lang w:eastAsia="ar-SA"/>
        </w:rPr>
        <w:t xml:space="preserve">, и софинансирования из местного бюджета </w:t>
      </w:r>
      <w:r>
        <w:rPr>
          <w:sz w:val="26"/>
          <w:szCs w:val="26"/>
        </w:rPr>
        <w:t xml:space="preserve">147 181,10 руб.</w:t>
      </w:r>
      <w:r>
        <w:rPr>
          <w:rFonts w:eastAsia="Calibri"/>
          <w:bCs/>
          <w:sz w:val="26"/>
          <w:szCs w:val="26"/>
          <w:lang w:eastAsia="ar-SA"/>
        </w:rPr>
      </w:r>
      <w:r>
        <w:rPr>
          <w:rFonts w:eastAsia="Calibri"/>
          <w:bCs/>
          <w:sz w:val="26"/>
          <w:szCs w:val="26"/>
          <w:lang w:eastAsia="ar-SA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Бюджетные</w:t>
      </w:r>
      <w:r>
        <w:rPr>
          <w:sz w:val="26"/>
          <w:szCs w:val="26"/>
        </w:rPr>
        <w:t xml:space="preserve"> назначения по подраздел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0503 «Благоустройство»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 xml:space="preserve">6 413 084,23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не исполнены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причине отсутствия документов исполнения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По подразделу 0505 «Другие вопросы в области жилищно-коммунального хозяйства» </w:t>
      </w:r>
      <w:r>
        <w:rPr>
          <w:sz w:val="26"/>
          <w:szCs w:val="26"/>
        </w:rPr>
        <w:t xml:space="preserve">плановые назначения исполнены на </w:t>
      </w:r>
      <w:r>
        <w:rPr>
          <w:sz w:val="26"/>
          <w:szCs w:val="26"/>
        </w:rPr>
        <w:t xml:space="preserve">83,9</w:t>
      </w:r>
      <w:r>
        <w:rPr>
          <w:sz w:val="26"/>
          <w:szCs w:val="26"/>
        </w:rPr>
        <w:t xml:space="preserve">%. Осуществлялись расходы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захоронени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погибш</w:t>
      </w:r>
      <w:r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участник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специальной военной операции за счет средств резервного фонда администрации Доволенского района в сумме </w:t>
      </w:r>
      <w:r>
        <w:rPr>
          <w:sz w:val="26"/>
          <w:szCs w:val="26"/>
        </w:rPr>
        <w:t xml:space="preserve">307 550,00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под</w:t>
      </w:r>
      <w:r>
        <w:rPr>
          <w:sz w:val="26"/>
          <w:szCs w:val="26"/>
        </w:rPr>
        <w:t xml:space="preserve">разделам 0701 «Дошкольное</w:t>
      </w:r>
      <w:r>
        <w:rPr>
          <w:sz w:val="26"/>
          <w:szCs w:val="26"/>
        </w:rPr>
        <w:t xml:space="preserve"> образование»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0702 «Общее образование»</w:t>
      </w:r>
      <w:r>
        <w:rPr>
          <w:sz w:val="26"/>
          <w:szCs w:val="26"/>
        </w:rPr>
        <w:t xml:space="preserve"> и 0703 «Дополнительное образование детей»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назначения исполнены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69,8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78,2</w:t>
      </w:r>
      <w:r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93</w:t>
      </w:r>
      <w:r>
        <w:rPr>
          <w:sz w:val="26"/>
          <w:szCs w:val="26"/>
        </w:rPr>
        <w:t xml:space="preserve">,1</w:t>
      </w:r>
      <w:r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соответственно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Общая сумма расходов на обеспечение деятельности детских садов составила </w:t>
      </w:r>
      <w:r>
        <w:rPr>
          <w:sz w:val="26"/>
          <w:szCs w:val="26"/>
        </w:rPr>
        <w:t xml:space="preserve">22 840 008,97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школ </w:t>
      </w:r>
      <w:r>
        <w:rPr>
          <w:sz w:val="26"/>
          <w:szCs w:val="26"/>
        </w:rPr>
        <w:t xml:space="preserve">114 294 655,48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и учреждений по внешкольной работе с детьми 23 457 661,61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Оплата осуществлялась в соответствии с фактической потребностью.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Бюджетные назначения п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ра</w:t>
      </w:r>
      <w:r>
        <w:rPr>
          <w:sz w:val="26"/>
          <w:szCs w:val="26"/>
        </w:rPr>
        <w:t xml:space="preserve">зделу 0707 «Молодежная политика</w:t>
      </w:r>
      <w:r>
        <w:rPr>
          <w:sz w:val="26"/>
          <w:szCs w:val="26"/>
        </w:rPr>
        <w:t xml:space="preserve">» исполнены на 16</w:t>
      </w:r>
      <w:r>
        <w:rPr>
          <w:sz w:val="26"/>
          <w:szCs w:val="26"/>
        </w:rPr>
        <w:t xml:space="preserve">,6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 xml:space="preserve">мероприяти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для детей и молодежи </w:t>
      </w:r>
      <w:r>
        <w:rPr>
          <w:sz w:val="26"/>
          <w:szCs w:val="26"/>
        </w:rPr>
        <w:t xml:space="preserve">израсходовано </w:t>
      </w:r>
      <w:r>
        <w:rPr>
          <w:sz w:val="26"/>
          <w:szCs w:val="26"/>
        </w:rPr>
        <w:t xml:space="preserve">21 515,00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осуществлялись </w:t>
      </w:r>
      <w:r>
        <w:rPr>
          <w:sz w:val="26"/>
          <w:szCs w:val="26"/>
        </w:rPr>
        <w:t xml:space="preserve">согласно плана мероприятий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лановые</w:t>
      </w:r>
      <w:r>
        <w:rPr>
          <w:sz w:val="26"/>
          <w:szCs w:val="26"/>
        </w:rPr>
        <w:t xml:space="preserve"> назначения п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разделу 0709 «Другие вопросы в области образования» </w:t>
      </w:r>
      <w:r>
        <w:rPr>
          <w:sz w:val="26"/>
          <w:szCs w:val="26"/>
        </w:rPr>
        <w:t xml:space="preserve">исполнены на 30,4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ыплач</w:t>
      </w:r>
      <w:r>
        <w:rPr>
          <w:sz w:val="26"/>
          <w:szCs w:val="26"/>
        </w:rPr>
        <w:t xml:space="preserve">ена</w:t>
      </w:r>
      <w:r>
        <w:rPr>
          <w:sz w:val="26"/>
          <w:szCs w:val="26"/>
        </w:rPr>
        <w:t xml:space="preserve"> стипендия Главы Доволенского района высокомотивированным и талантливым детям, добившимся успехов в области образования, физической культуры, спорта и 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300 000,00 руб. </w:t>
      </w:r>
      <w:r>
        <w:rPr>
          <w:sz w:val="26"/>
          <w:szCs w:val="26"/>
        </w:rPr>
        <w:t xml:space="preserve">Расходы на обеспечение деятельности </w:t>
      </w:r>
      <w:r>
        <w:rPr>
          <w:sz w:val="26"/>
          <w:szCs w:val="26"/>
        </w:rPr>
        <w:t xml:space="preserve">МКУ «Управление образования» </w:t>
      </w:r>
      <w:r>
        <w:rPr>
          <w:sz w:val="26"/>
          <w:szCs w:val="26"/>
        </w:rPr>
        <w:t xml:space="preserve">составили </w:t>
      </w:r>
      <w:r>
        <w:rPr>
          <w:sz w:val="26"/>
          <w:szCs w:val="26"/>
        </w:rPr>
        <w:t xml:space="preserve">1 434 256,17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В связи с отсутствием потребности не исполнены назначения на оздоровление детей в каникулярное время в сумме 5 495 045,50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Исполнение по подразделу 0801 «Культура» составило </w:t>
      </w:r>
      <w:r>
        <w:rPr>
          <w:sz w:val="26"/>
          <w:szCs w:val="26"/>
        </w:rPr>
        <w:t xml:space="preserve">69,4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отчетный период на обеспечение деятельности МКУ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«Культурно-досуговый центр»,  МКУ</w:t>
      </w:r>
      <w:r>
        <w:rPr>
          <w:sz w:val="26"/>
          <w:szCs w:val="26"/>
        </w:rPr>
        <w:t xml:space="preserve">К</w:t>
      </w:r>
      <w:r>
        <w:rPr>
          <w:i/>
          <w:sz w:val="26"/>
          <w:szCs w:val="26"/>
        </w:rPr>
        <w:t xml:space="preserve"> «</w:t>
      </w:r>
      <w:r>
        <w:rPr>
          <w:sz w:val="26"/>
          <w:szCs w:val="26"/>
        </w:rPr>
        <w:t xml:space="preserve">Доволенский историко-краеведческий музей»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и МК</w:t>
      </w:r>
      <w:r>
        <w:rPr>
          <w:sz w:val="26"/>
          <w:szCs w:val="26"/>
        </w:rPr>
        <w:t xml:space="preserve">УК</w:t>
      </w:r>
      <w:r>
        <w:rPr>
          <w:sz w:val="26"/>
          <w:szCs w:val="26"/>
        </w:rPr>
        <w:t xml:space="preserve"> «Доволенская </w:t>
      </w:r>
      <w:r>
        <w:rPr>
          <w:sz w:val="26"/>
          <w:szCs w:val="26"/>
        </w:rPr>
        <w:t xml:space="preserve">центральная </w:t>
      </w:r>
      <w:r>
        <w:rPr>
          <w:sz w:val="26"/>
          <w:szCs w:val="26"/>
        </w:rPr>
        <w:t xml:space="preserve">районная библиотека» израсходовано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24 023 433,08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том числе на  фонд оплаты труда и страховые взносы  </w:t>
      </w:r>
      <w:r>
        <w:rPr>
          <w:sz w:val="26"/>
          <w:szCs w:val="26"/>
        </w:rPr>
        <w:t xml:space="preserve">21 035 078,07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t xml:space="preserve">    </w:t>
      </w:r>
      <w:r>
        <w:t xml:space="preserve"> </w:t>
      </w:r>
      <w: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Расходы на доплаты к пенсиям муниципальных</w:t>
      </w:r>
      <w:r>
        <w:rPr>
          <w:sz w:val="26"/>
          <w:szCs w:val="26"/>
        </w:rPr>
        <w:t xml:space="preserve"> служащих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1 163 250,00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исполнены на </w:t>
      </w:r>
      <w:r>
        <w:rPr>
          <w:sz w:val="26"/>
          <w:szCs w:val="26"/>
        </w:rPr>
        <w:t xml:space="preserve">61,5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714 919,96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 с</w:t>
      </w:r>
      <w:r>
        <w:rPr>
          <w:sz w:val="26"/>
          <w:szCs w:val="26"/>
        </w:rPr>
        <w:t xml:space="preserve">оциальное обслуживание населения </w:t>
      </w:r>
      <w:r>
        <w:rPr>
          <w:sz w:val="26"/>
          <w:szCs w:val="26"/>
        </w:rPr>
        <w:t xml:space="preserve">израсходовано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15 232 878,67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79,8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на  фонд оплаты труда и страховые взносы  </w:t>
      </w:r>
      <w:r>
        <w:rPr>
          <w:sz w:val="26"/>
          <w:szCs w:val="26"/>
        </w:rPr>
        <w:t xml:space="preserve">14 299 640,20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По подразделу 1003 «Социальное обеспечение населения»  </w:t>
      </w:r>
      <w:r>
        <w:rPr>
          <w:sz w:val="26"/>
          <w:szCs w:val="26"/>
        </w:rPr>
        <w:t xml:space="preserve">плановые назначения 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678 000,</w:t>
      </w:r>
      <w:r>
        <w:rPr>
          <w:sz w:val="26"/>
          <w:szCs w:val="26"/>
        </w:rPr>
        <w:t xml:space="preserve">00 руб. исполнены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418 000</w:t>
      </w:r>
      <w:r>
        <w:rPr>
          <w:sz w:val="26"/>
          <w:szCs w:val="26"/>
        </w:rPr>
        <w:t xml:space="preserve">,00 руб. или </w:t>
      </w:r>
      <w:r>
        <w:rPr>
          <w:sz w:val="26"/>
          <w:szCs w:val="26"/>
        </w:rPr>
        <w:t xml:space="preserve">61,7%.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ыплачена субсидия на </w:t>
      </w:r>
      <w:r>
        <w:rPr>
          <w:color w:val="000000"/>
          <w:sz w:val="26"/>
          <w:szCs w:val="26"/>
        </w:rPr>
        <w:t xml:space="preserve">приобретение</w:t>
      </w:r>
      <w:r>
        <w:rPr>
          <w:color w:val="000000"/>
          <w:sz w:val="26"/>
          <w:szCs w:val="26"/>
        </w:rPr>
        <w:t xml:space="preserve"> жилья 1</w:t>
      </w:r>
      <w:r>
        <w:rPr>
          <w:color w:val="000000"/>
          <w:sz w:val="26"/>
          <w:szCs w:val="26"/>
        </w:rPr>
        <w:t xml:space="preserve"> молодой</w:t>
      </w:r>
      <w:r>
        <w:rPr>
          <w:color w:val="000000"/>
          <w:sz w:val="26"/>
          <w:szCs w:val="26"/>
        </w:rPr>
        <w:t xml:space="preserve"> семье</w:t>
      </w:r>
      <w:r>
        <w:rPr>
          <w:color w:val="000000"/>
          <w:sz w:val="26"/>
          <w:szCs w:val="26"/>
        </w:rPr>
        <w:t xml:space="preserve"> в сумме </w:t>
      </w:r>
      <w:r>
        <w:rPr>
          <w:color w:val="000000"/>
          <w:sz w:val="26"/>
          <w:szCs w:val="26"/>
        </w:rPr>
        <w:t xml:space="preserve">378 00</w:t>
      </w:r>
      <w:r>
        <w:rPr>
          <w:color w:val="000000"/>
          <w:sz w:val="26"/>
          <w:szCs w:val="26"/>
        </w:rPr>
        <w:t xml:space="preserve">0,00 руб. Предоставлена социальная помощь участника</w:t>
      </w:r>
      <w:r>
        <w:rPr>
          <w:color w:val="000000"/>
          <w:sz w:val="26"/>
          <w:szCs w:val="26"/>
        </w:rPr>
        <w:t xml:space="preserve">м</w:t>
      </w:r>
      <w:r>
        <w:rPr>
          <w:color w:val="000000"/>
          <w:sz w:val="26"/>
          <w:szCs w:val="26"/>
        </w:rPr>
        <w:t xml:space="preserve"> СВО</w:t>
      </w:r>
      <w:r>
        <w:rPr>
          <w:color w:val="000000"/>
          <w:sz w:val="26"/>
          <w:szCs w:val="26"/>
        </w:rPr>
        <w:t xml:space="preserve"> и членам их семей</w:t>
      </w:r>
      <w:r>
        <w:rPr>
          <w:color w:val="000000"/>
          <w:sz w:val="26"/>
          <w:szCs w:val="26"/>
        </w:rPr>
        <w:t xml:space="preserve"> в сумме 4</w:t>
      </w:r>
      <w:r>
        <w:rPr>
          <w:color w:val="000000"/>
          <w:sz w:val="26"/>
          <w:szCs w:val="26"/>
        </w:rPr>
        <w:t xml:space="preserve">0</w:t>
      </w:r>
      <w:r>
        <w:rPr>
          <w:color w:val="000000"/>
          <w:sz w:val="26"/>
          <w:szCs w:val="26"/>
        </w:rPr>
        <w:t xml:space="preserve"> 000,00 руб</w:t>
      </w:r>
      <w:r>
        <w:rPr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Расходы на охрану семьи</w:t>
      </w:r>
      <w:r>
        <w:rPr>
          <w:sz w:val="26"/>
          <w:szCs w:val="26"/>
        </w:rPr>
        <w:t xml:space="preserve"> и детства</w:t>
      </w:r>
      <w:r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 xml:space="preserve">4 711 254,81</w:t>
      </w:r>
      <w:r>
        <w:rPr>
          <w:sz w:val="26"/>
          <w:szCs w:val="26"/>
        </w:rPr>
        <w:t xml:space="preserve"> руб. при плановых назначениях </w:t>
      </w:r>
      <w:r>
        <w:rPr>
          <w:sz w:val="26"/>
          <w:szCs w:val="26"/>
        </w:rPr>
        <w:t xml:space="preserve">5 642 481,00</w:t>
      </w:r>
      <w:r>
        <w:rPr>
          <w:sz w:val="26"/>
          <w:szCs w:val="26"/>
        </w:rPr>
        <w:t xml:space="preserve"> руб. и исполнены  на 83,5</w:t>
      </w:r>
      <w:r>
        <w:rPr>
          <w:sz w:val="26"/>
          <w:szCs w:val="26"/>
        </w:rPr>
        <w:t xml:space="preserve">%.</w:t>
      </w:r>
      <w:r>
        <w:t xml:space="preserve">  </w:t>
      </w:r>
      <w:r>
        <w:rPr>
          <w:sz w:val="26"/>
          <w:szCs w:val="26"/>
        </w:rPr>
        <w:t xml:space="preserve">Производились выплаты  приемным семьям на</w:t>
      </w:r>
      <w:r>
        <w:rPr>
          <w:sz w:val="26"/>
          <w:szCs w:val="26"/>
        </w:rPr>
        <w:t xml:space="preserve"> содержание  подопечных детей,  </w:t>
      </w:r>
      <w:r>
        <w:rPr>
          <w:sz w:val="26"/>
          <w:szCs w:val="26"/>
        </w:rPr>
        <w:t xml:space="preserve">семьям опекунов на содержание  подопечных детей, выплачивалось </w:t>
      </w:r>
      <w:r>
        <w:rPr>
          <w:sz w:val="26"/>
          <w:szCs w:val="26"/>
        </w:rPr>
        <w:t xml:space="preserve">воз</w:t>
      </w:r>
      <w:r>
        <w:rPr>
          <w:sz w:val="26"/>
          <w:szCs w:val="26"/>
        </w:rPr>
        <w:t xml:space="preserve">награждение  приемным родителям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Расходы на физическую культуру составили </w:t>
      </w:r>
      <w:r>
        <w:rPr>
          <w:sz w:val="26"/>
          <w:szCs w:val="26"/>
        </w:rPr>
        <w:t xml:space="preserve">4 831 840,48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в том числе на обеспечение деятельности плавательного бассейна «Аквамарин» </w:t>
      </w:r>
      <w:r>
        <w:rPr>
          <w:sz w:val="26"/>
          <w:szCs w:val="26"/>
        </w:rPr>
        <w:t xml:space="preserve">4 430 040,48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(исполнение </w:t>
      </w:r>
      <w:r>
        <w:rPr>
          <w:sz w:val="26"/>
          <w:szCs w:val="26"/>
        </w:rPr>
        <w:t xml:space="preserve">71,3</w:t>
      </w:r>
      <w:r>
        <w:rPr>
          <w:sz w:val="26"/>
          <w:szCs w:val="26"/>
        </w:rPr>
        <w:t xml:space="preserve">%)</w:t>
      </w:r>
      <w:r>
        <w:rPr>
          <w:sz w:val="26"/>
          <w:szCs w:val="26"/>
        </w:rPr>
        <w:t xml:space="preserve"> и 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оведение мероприятий в области физической культуры и спорта </w:t>
      </w:r>
      <w:r>
        <w:rPr>
          <w:sz w:val="26"/>
          <w:szCs w:val="26"/>
        </w:rPr>
        <w:t xml:space="preserve">401 800,00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 (исполнение </w:t>
      </w:r>
      <w:r>
        <w:rPr>
          <w:sz w:val="26"/>
          <w:szCs w:val="26"/>
        </w:rPr>
        <w:t xml:space="preserve">59,2</w:t>
      </w:r>
      <w:r>
        <w:rPr>
          <w:sz w:val="26"/>
          <w:szCs w:val="26"/>
        </w:rPr>
        <w:t xml:space="preserve">%).</w:t>
      </w:r>
      <w:r>
        <w:rPr>
          <w:sz w:val="26"/>
          <w:szCs w:val="26"/>
        </w:rPr>
        <w:t xml:space="preserve">  Плановые назначения </w:t>
      </w:r>
      <w:r>
        <w:rPr>
          <w:sz w:val="26"/>
          <w:szCs w:val="26"/>
        </w:rPr>
        <w:t xml:space="preserve">по подразделу </w:t>
      </w:r>
      <w:r>
        <w:rPr>
          <w:sz w:val="26"/>
          <w:szCs w:val="26"/>
        </w:rPr>
        <w:t xml:space="preserve">исполнены на </w:t>
      </w:r>
      <w:r>
        <w:rPr>
          <w:sz w:val="26"/>
          <w:szCs w:val="26"/>
        </w:rPr>
        <w:t xml:space="preserve">70,2</w:t>
      </w:r>
      <w:r>
        <w:rPr>
          <w:sz w:val="26"/>
          <w:szCs w:val="26"/>
        </w:rPr>
        <w:t xml:space="preserve">%.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По разделу 1400</w:t>
      </w:r>
      <w:r>
        <w:rPr>
          <w:sz w:val="26"/>
          <w:szCs w:val="26"/>
        </w:rPr>
        <w:t xml:space="preserve"> «Межбюджетные трансферты общего характера бюджетам субъектов Российской Федерации и муниципальных образований» отражена дотация поселениям на выравнивание бюджетной обеспеченности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14 441 700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(исполнение 100%), </w:t>
      </w:r>
      <w:r>
        <w:rPr>
          <w:sz w:val="26"/>
          <w:szCs w:val="26"/>
        </w:rPr>
        <w:t xml:space="preserve">иные межбюджетные трансферты на реализацию 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сбалансированности бюджетов поселений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6 816 900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(исполнение </w:t>
      </w:r>
      <w:r>
        <w:rPr>
          <w:sz w:val="26"/>
          <w:szCs w:val="26"/>
        </w:rPr>
        <w:t xml:space="preserve">100,0</w:t>
      </w:r>
      <w:r>
        <w:rPr>
          <w:sz w:val="26"/>
          <w:szCs w:val="26"/>
        </w:rPr>
        <w:t xml:space="preserve">%)</w:t>
      </w:r>
      <w:r>
        <w:rPr>
          <w:sz w:val="26"/>
          <w:szCs w:val="26"/>
        </w:rPr>
        <w:t xml:space="preserve">, на решение вопросов местного значения сельских поселений </w:t>
      </w:r>
      <w:r>
        <w:rPr>
          <w:sz w:val="26"/>
          <w:szCs w:val="26"/>
        </w:rPr>
        <w:t xml:space="preserve">1 494 800,00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(исполнение 19,2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 в соответствии с фактической потребностью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Источники внутреннего финансирования дефицита бюджета Доволенского района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Бюджет муниципального района утвержден с дефицитом в размере  33 922 727,25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в том числе за счет изменения остатков средств на счетах бюджета в сумме </w:t>
      </w:r>
      <w:r>
        <w:rPr>
          <w:sz w:val="26"/>
          <w:szCs w:val="26"/>
        </w:rPr>
        <w:t xml:space="preserve">33 922 727,25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Фактически за отчетный период бюджет исполнен с </w:t>
      </w:r>
      <w:r>
        <w:rPr>
          <w:sz w:val="26"/>
          <w:szCs w:val="26"/>
        </w:rPr>
        <w:t xml:space="preserve">профицитом</w:t>
      </w:r>
      <w:r>
        <w:rPr>
          <w:sz w:val="26"/>
          <w:szCs w:val="26"/>
        </w:rPr>
        <w:t xml:space="preserve"> в размере  8 722 353,01</w:t>
      </w:r>
      <w:r>
        <w:rPr>
          <w:sz w:val="26"/>
          <w:szCs w:val="26"/>
        </w:rPr>
        <w:t xml:space="preserve"> руб. в том числе за счет изменения остатков </w:t>
      </w:r>
      <w:r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 xml:space="preserve">8 722 353,01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</w:t>
      </w:r>
      <w:r>
        <w:rPr>
          <w:sz w:val="26"/>
          <w:szCs w:val="26"/>
        </w:rPr>
        <w:t xml:space="preserve">.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Реализация муниципальных программ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В 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г из бюджета района финансируется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программ: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2126"/>
        <w:gridCol w:w="1843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Бюджетные назначения</w:t>
            </w:r>
            <w:r>
              <w:rPr>
                <w:sz w:val="26"/>
                <w:szCs w:val="26"/>
              </w:rPr>
              <w:t xml:space="preserve"> на 20</w:t>
            </w: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руб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Кассовый расход</w:t>
            </w:r>
            <w:r>
              <w:rPr>
                <w:sz w:val="26"/>
                <w:szCs w:val="26"/>
              </w:rPr>
              <w:t xml:space="preserve"> за 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квартал</w:t>
            </w:r>
            <w:r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руб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исполнения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1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</w:t>
            </w:r>
            <w:r>
              <w:rPr>
                <w:sz w:val="26"/>
                <w:szCs w:val="26"/>
              </w:rPr>
              <w:t xml:space="preserve">Снижение рисков и смягчение последствий чрезвычайных ситуаций природно</w:t>
            </w:r>
            <w:r>
              <w:rPr>
                <w:sz w:val="26"/>
                <w:szCs w:val="26"/>
              </w:rPr>
              <w:t xml:space="preserve">го и техногенного характера в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Доволенско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1 039 000</w:t>
            </w:r>
            <w:r>
              <w:rPr>
                <w:sz w:val="26"/>
                <w:szCs w:val="26"/>
              </w:rPr>
              <w:t xml:space="preserve">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90 424,00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8,7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«Развитие транспортного обслуживания населения Доволенского района»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12 442 078,41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2 765 372,87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22,2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</w:t>
            </w:r>
            <w:r>
              <w:rPr>
                <w:sz w:val="26"/>
                <w:szCs w:val="26"/>
              </w:rPr>
              <w:t xml:space="preserve">Создание условий и поддержка развития малого и среднего предпринимательства в </w:t>
            </w:r>
            <w:r>
              <w:rPr>
                <w:sz w:val="26"/>
                <w:szCs w:val="26"/>
              </w:rPr>
              <w:t xml:space="preserve">Доволенско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 Новосибирской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513 631,67</w:t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</w:t>
            </w:r>
            <w:r>
              <w:rPr>
                <w:sz w:val="26"/>
                <w:szCs w:val="26"/>
              </w:rPr>
              <w:t xml:space="preserve">Развитие и функционирование дополнительного образования в Доволенском районе Новосибирской области в рамках системы персонифицированного финансирования на 2023-2025 годы"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6 062 450,00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1 182 901,20</w:t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19,5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«Развитие и поддержка территориального</w:t>
            </w:r>
            <w:r>
              <w:rPr>
                <w:sz w:val="26"/>
                <w:szCs w:val="26"/>
              </w:rPr>
              <w:t xml:space="preserve"> общественного самоуправления в Доволенском районе Новосибирской области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1 304 449,00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</w:t>
            </w:r>
            <w:bookmarkStart w:id="3" w:name="_Hlk172022157"/>
            <w:r>
              <w:rPr>
                <w:sz w:val="26"/>
                <w:szCs w:val="26"/>
              </w:rPr>
              <w:t xml:space="preserve">«Повышение безопасности дорожного движения на территории Доволенского района</w:t>
            </w:r>
            <w:r>
              <w:rPr>
                <w:sz w:val="26"/>
                <w:szCs w:val="26"/>
              </w:rPr>
              <w:t xml:space="preserve">»</w:t>
            </w:r>
            <w:bookmarkEnd w:id="3"/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60 000,00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«Поддержка социально-ориентированных организаций Доволенского района Новосибирской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60 000,00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</w:t>
            </w:r>
            <w:r>
              <w:rPr>
                <w:sz w:val="26"/>
                <w:szCs w:val="26"/>
              </w:rPr>
              <w:t xml:space="preserve">"Развитие культуры в Доволенском районе Новосибирской области на 2023-2025 годы"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41793 530,00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МП </w:t>
            </w:r>
            <w:r>
              <w:rPr>
                <w:color w:val="000000"/>
                <w:sz w:val="26"/>
                <w:szCs w:val="26"/>
              </w:rPr>
              <w:t xml:space="preserve">«Обеспечение жильем молодых семей в </w:t>
            </w:r>
            <w:r>
              <w:rPr>
                <w:color w:val="000000"/>
                <w:sz w:val="26"/>
                <w:szCs w:val="26"/>
              </w:rPr>
              <w:t xml:space="preserve">Доволенском районе </w:t>
            </w:r>
            <w:r>
              <w:rPr>
                <w:color w:val="000000"/>
                <w:sz w:val="26"/>
                <w:szCs w:val="26"/>
              </w:rPr>
              <w:t xml:space="preserve">Новосибирской</w:t>
            </w:r>
            <w:r>
              <w:rPr>
                <w:color w:val="000000"/>
                <w:sz w:val="26"/>
                <w:szCs w:val="26"/>
              </w:rPr>
              <w:t xml:space="preserve">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378 000,</w:t>
            </w:r>
            <w:r>
              <w:rPr>
                <w:sz w:val="26"/>
                <w:szCs w:val="26"/>
              </w:rPr>
              <w:t xml:space="preserve">00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378 000,</w:t>
            </w:r>
            <w:r>
              <w:rPr>
                <w:sz w:val="26"/>
                <w:szCs w:val="26"/>
              </w:rPr>
              <w:t xml:space="preserve">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</w:t>
            </w:r>
            <w:r>
              <w:rPr>
                <w:sz w:val="26"/>
                <w:szCs w:val="26"/>
              </w:rPr>
              <w:t xml:space="preserve">Противодействие экстремизму и профилактика терроризма на территории Доволенского района Новосибирской области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3 000,00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«Профилактика правонарушений и преступлений в Доволенском районе Новосибирской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10 000,0</w:t>
            </w: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«Противодействие злоупотреблению наркотиками и их незаконному обороту в Доволенском районе Новосибирской области»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0 000,00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6"/>
        </w:trPr>
        <w:tc>
          <w:tcPr>
            <w:tcW w:w="5070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МП «Развитие физической культуры и спорта в Доволенском районе Новосибирской области»</w:t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50 000,00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63 726 139,08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4 416 698,07</w:t>
            </w:r>
            <w:r>
              <w:rPr>
                <w:sz w:val="26"/>
                <w:szCs w:val="26"/>
              </w:rPr>
            </w:r>
          </w:p>
        </w:tc>
        <w:tc>
          <w:tcPr>
            <w:tcW w:w="1200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6,9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ассовы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расход</w:t>
      </w:r>
      <w:r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муниципальным программам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Довол</w:t>
      </w:r>
      <w:r>
        <w:rPr>
          <w:sz w:val="26"/>
          <w:szCs w:val="26"/>
        </w:rPr>
        <w:t xml:space="preserve">енского района за 1 квартал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г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составил 4 416 698,07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или 6,9</w:t>
      </w:r>
      <w:r>
        <w:rPr>
          <w:sz w:val="26"/>
          <w:szCs w:val="26"/>
        </w:rPr>
        <w:t xml:space="preserve">% годовых назначений.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рамках</w:t>
      </w:r>
      <w:r>
        <w:rPr>
          <w:sz w:val="26"/>
          <w:szCs w:val="26"/>
        </w:rPr>
        <w:t xml:space="preserve"> муниципальной программы «</w:t>
      </w:r>
      <w:r>
        <w:rPr>
          <w:sz w:val="26"/>
          <w:szCs w:val="26"/>
        </w:rPr>
        <w:t xml:space="preserve">Снижение рисков и смягчение последствий чрезвычайных ситуаций природного и техногенного характера в </w:t>
      </w:r>
      <w:r>
        <w:rPr>
          <w:sz w:val="26"/>
          <w:szCs w:val="26"/>
        </w:rPr>
        <w:t xml:space="preserve">Доволенско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» о</w:t>
      </w:r>
      <w:r>
        <w:rPr>
          <w:sz w:val="26"/>
          <w:szCs w:val="26"/>
        </w:rPr>
        <w:t xml:space="preserve">плачены услуги за обслуживание дымовых пожарных извещателей в сумме </w:t>
      </w:r>
      <w:r>
        <w:rPr>
          <w:sz w:val="26"/>
          <w:szCs w:val="26"/>
        </w:rPr>
        <w:t xml:space="preserve">14 666,67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эксплуатационно- техническое обслуживание системы оповещения населения  6 500,00 руб. </w:t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 муниципальной программе «</w:t>
      </w:r>
      <w:r>
        <w:rPr>
          <w:sz w:val="26"/>
          <w:szCs w:val="26"/>
        </w:rPr>
        <w:t xml:space="preserve">Развитие транспортного обслуживания населения Доволенского района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оплачены услуги, связанные с осуществлением регулярных пассажирских перевозок по регулируемым тарифам на территории Доволенского района в сумме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2 765 372,87</w:t>
      </w:r>
      <w:r/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По программе «</w:t>
      </w:r>
      <w:r>
        <w:rPr>
          <w:sz w:val="26"/>
          <w:szCs w:val="26"/>
        </w:rPr>
        <w:t xml:space="preserve">Развитие и функционирование дополнительного образования в Доволенском районе Новосибирской области в рамках системы персонифицированного финансирования на 2023-2025 годы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предоставлялись субсидии бюджетным учреждениям в сумме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1 182 901,20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 xml:space="preserve">муниципаль</w:t>
      </w:r>
      <w:r>
        <w:rPr>
          <w:color w:val="000000"/>
          <w:sz w:val="26"/>
          <w:szCs w:val="26"/>
        </w:rPr>
        <w:t xml:space="preserve">ной программе «Обеспечение жильем молодых семей в </w:t>
      </w:r>
      <w:r>
        <w:rPr>
          <w:color w:val="000000"/>
          <w:sz w:val="26"/>
          <w:szCs w:val="26"/>
        </w:rPr>
        <w:t xml:space="preserve">Доволенском районе </w:t>
      </w:r>
      <w:r>
        <w:rPr>
          <w:color w:val="000000"/>
          <w:sz w:val="26"/>
          <w:szCs w:val="26"/>
        </w:rPr>
        <w:t xml:space="preserve">Новосибирской области»  выплачена субсидия на </w:t>
      </w:r>
      <w:r>
        <w:rPr>
          <w:color w:val="000000"/>
          <w:sz w:val="26"/>
          <w:szCs w:val="26"/>
        </w:rPr>
        <w:t xml:space="preserve">приобретение</w:t>
      </w:r>
      <w:r>
        <w:rPr>
          <w:color w:val="000000"/>
          <w:sz w:val="26"/>
          <w:szCs w:val="26"/>
        </w:rPr>
        <w:t xml:space="preserve"> жилья </w:t>
      </w:r>
      <w:r>
        <w:rPr>
          <w:color w:val="000000"/>
          <w:sz w:val="26"/>
          <w:szCs w:val="26"/>
        </w:rPr>
        <w:t xml:space="preserve"> молодой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семье</w:t>
      </w:r>
      <w:r>
        <w:rPr>
          <w:color w:val="000000"/>
          <w:sz w:val="26"/>
          <w:szCs w:val="26"/>
        </w:rPr>
        <w:t xml:space="preserve"> в сумме </w:t>
      </w:r>
      <w:r>
        <w:rPr>
          <w:color w:val="000000"/>
          <w:sz w:val="26"/>
          <w:szCs w:val="26"/>
        </w:rPr>
        <w:t xml:space="preserve">378 000,00 </w:t>
      </w:r>
      <w:r>
        <w:rPr>
          <w:color w:val="000000"/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Доволенского </w:t>
      </w:r>
      <w:r>
        <w:rPr>
          <w:sz w:val="26"/>
          <w:szCs w:val="26"/>
        </w:rPr>
        <w:t xml:space="preserve">района                                                   </w:t>
      </w:r>
      <w:r>
        <w:rPr>
          <w:sz w:val="26"/>
          <w:szCs w:val="26"/>
        </w:rPr>
        <w:t xml:space="preserve">                       Б.В.Луцкий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851" w:right="70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</w:r>
    <w:r>
      <w:rPr>
        <w:rStyle w:val="924"/>
      </w:rPr>
    </w:r>
    <w:r>
      <w:rPr>
        <w:rStyle w:val="924"/>
      </w:rPr>
    </w:r>
  </w:p>
  <w:p>
    <w:pPr>
      <w:pStyle w:val="92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14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-32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25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18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11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3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76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link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link w:val="772"/>
    <w:uiPriority w:val="35"/>
    <w:rPr>
      <w:b/>
      <w:bCs/>
      <w:color w:val="4f81bd" w:themeColor="accent1"/>
      <w:sz w:val="18"/>
      <w:szCs w:val="18"/>
    </w:rPr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rPr>
      <w:sz w:val="24"/>
      <w:szCs w:val="24"/>
      <w:lang w:val="ru-RU" w:eastAsia="ru-RU" w:bidi="ar-SA"/>
    </w:rPr>
  </w:style>
  <w:style w:type="paragraph" w:styleId="919">
    <w:name w:val="Заголовок 1"/>
    <w:basedOn w:val="918"/>
    <w:next w:val="918"/>
    <w:link w:val="918"/>
    <w:qFormat/>
    <w:pPr>
      <w:jc w:val="center"/>
      <w:keepNext/>
      <w:outlineLvl w:val="0"/>
    </w:pPr>
    <w:rPr>
      <w:sz w:val="28"/>
    </w:rPr>
  </w:style>
  <w:style w:type="character" w:styleId="920">
    <w:name w:val="Основной шрифт абзаца"/>
    <w:next w:val="920"/>
    <w:link w:val="918"/>
    <w:semiHidden/>
  </w:style>
  <w:style w:type="table" w:styleId="921">
    <w:name w:val="Обычная таблица"/>
    <w:next w:val="921"/>
    <w:link w:val="918"/>
    <w:semiHidden/>
    <w:tblPr/>
  </w:style>
  <w:style w:type="numbering" w:styleId="922">
    <w:name w:val="Нет списка"/>
    <w:next w:val="922"/>
    <w:link w:val="918"/>
    <w:semiHidden/>
  </w:style>
  <w:style w:type="paragraph" w:styleId="923">
    <w:name w:val="Нижний колонтитул"/>
    <w:basedOn w:val="918"/>
    <w:next w:val="923"/>
    <w:link w:val="918"/>
    <w:pPr>
      <w:tabs>
        <w:tab w:val="center" w:pos="4677" w:leader="none"/>
        <w:tab w:val="right" w:pos="9355" w:leader="none"/>
      </w:tabs>
    </w:pPr>
  </w:style>
  <w:style w:type="character" w:styleId="924">
    <w:name w:val="Номер страницы"/>
    <w:basedOn w:val="920"/>
    <w:next w:val="924"/>
    <w:link w:val="918"/>
  </w:style>
  <w:style w:type="table" w:styleId="925">
    <w:name w:val="Сетка таблицы"/>
    <w:basedOn w:val="921"/>
    <w:next w:val="925"/>
    <w:link w:val="918"/>
    <w:tblPr/>
  </w:style>
  <w:style w:type="paragraph" w:styleId="926">
    <w:name w:val="Текст выноски"/>
    <w:basedOn w:val="918"/>
    <w:next w:val="926"/>
    <w:link w:val="932"/>
    <w:rPr>
      <w:rFonts w:ascii="Tahoma" w:hAnsi="Tahoma" w:cs="Tahoma"/>
      <w:sz w:val="16"/>
      <w:szCs w:val="16"/>
    </w:rPr>
  </w:style>
  <w:style w:type="paragraph" w:styleId="927">
    <w:name w:val="Основной текст"/>
    <w:basedOn w:val="918"/>
    <w:next w:val="927"/>
    <w:link w:val="918"/>
    <w:pPr>
      <w:spacing w:after="120"/>
    </w:pPr>
  </w:style>
  <w:style w:type="paragraph" w:styleId="928">
    <w:name w:val="Верхний колонтитул"/>
    <w:basedOn w:val="918"/>
    <w:next w:val="928"/>
    <w:link w:val="918"/>
    <w:pPr>
      <w:tabs>
        <w:tab w:val="center" w:pos="4677" w:leader="none"/>
        <w:tab w:val="right" w:pos="9355" w:leader="none"/>
      </w:tabs>
    </w:pPr>
  </w:style>
  <w:style w:type="paragraph" w:styleId="929">
    <w:name w:val="Абзац списка"/>
    <w:basedOn w:val="918"/>
    <w:next w:val="929"/>
    <w:link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30">
    <w:name w:val="Основной текст с отступом,Мой Заголовок 1"/>
    <w:basedOn w:val="918"/>
    <w:next w:val="930"/>
    <w:link w:val="931"/>
    <w:pPr>
      <w:jc w:val="center"/>
    </w:pPr>
    <w:rPr>
      <w:b/>
      <w:bCs/>
      <w:sz w:val="28"/>
      <w:szCs w:val="28"/>
    </w:rPr>
  </w:style>
  <w:style w:type="character" w:styleId="931">
    <w:name w:val="Основной текст с отступом Знак"/>
    <w:next w:val="931"/>
    <w:link w:val="930"/>
    <w:rPr>
      <w:b/>
      <w:bCs/>
      <w:sz w:val="28"/>
      <w:szCs w:val="28"/>
    </w:rPr>
  </w:style>
  <w:style w:type="character" w:styleId="932">
    <w:name w:val="Текст выноски Знак"/>
    <w:next w:val="932"/>
    <w:link w:val="926"/>
    <w:rPr>
      <w:rFonts w:ascii="Tahoma" w:hAnsi="Tahoma" w:cs="Tahoma"/>
      <w:sz w:val="16"/>
      <w:szCs w:val="16"/>
    </w:rPr>
  </w:style>
  <w:style w:type="paragraph" w:styleId="933">
    <w:name w:val="ConsPlusNormal"/>
    <w:next w:val="933"/>
    <w:link w:val="91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УФ и НП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Реснянская</dc:creator>
  <cp:lastModifiedBy>fedortsova_sv@mfnso.local</cp:lastModifiedBy>
  <cp:revision>120</cp:revision>
  <dcterms:created xsi:type="dcterms:W3CDTF">2012-03-18T07:46:00Z</dcterms:created>
  <dcterms:modified xsi:type="dcterms:W3CDTF">2025-04-30T08:03:18Z</dcterms:modified>
  <cp:version>1048576</cp:version>
</cp:coreProperties>
</file>